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AB" w:rsidRDefault="005B2DAB" w:rsidP="00DE4EE7">
      <w:pPr>
        <w:spacing w:after="0"/>
        <w:jc w:val="both"/>
        <w:rPr>
          <w:b/>
          <w:sz w:val="30"/>
          <w:szCs w:val="30"/>
          <w:u w:val="single"/>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43455" cy="1103630"/>
            <wp:effectExtent l="0" t="0" r="4445" b="1270"/>
            <wp:wrapNone/>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3455" cy="1103630"/>
                    </a:xfrm>
                    <a:prstGeom prst="rect">
                      <a:avLst/>
                    </a:prstGeom>
                    <a:noFill/>
                  </pic:spPr>
                </pic:pic>
              </a:graphicData>
            </a:graphic>
          </wp:anchor>
        </w:drawing>
      </w: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5B2DAB">
      <w:pPr>
        <w:overflowPunct/>
        <w:autoSpaceDE/>
        <w:autoSpaceDN/>
        <w:adjustRightInd/>
        <w:spacing w:after="120" w:line="240" w:lineRule="auto"/>
        <w:jc w:val="center"/>
        <w:textAlignment w:val="auto"/>
        <w:rPr>
          <w:rFonts w:ascii="Cambria" w:hAnsi="Cambria" w:cs="Calibri"/>
          <w:b/>
          <w:bCs/>
          <w:caps/>
          <w:color w:val="E36C0A"/>
          <w:sz w:val="44"/>
          <w:szCs w:val="44"/>
        </w:rPr>
      </w:pPr>
    </w:p>
    <w:p w:rsidR="00911F25" w:rsidRDefault="005B2DAB" w:rsidP="005B2DAB">
      <w:pPr>
        <w:overflowPunct/>
        <w:autoSpaceDE/>
        <w:autoSpaceDN/>
        <w:adjustRightInd/>
        <w:spacing w:after="120" w:line="240" w:lineRule="auto"/>
        <w:jc w:val="center"/>
        <w:textAlignment w:val="auto"/>
        <w:rPr>
          <w:rFonts w:ascii="Cambria" w:hAnsi="Cambria" w:cs="Calibri"/>
          <w:b/>
          <w:bCs/>
          <w:caps/>
          <w:color w:val="E36C0A"/>
          <w:sz w:val="44"/>
          <w:szCs w:val="44"/>
        </w:rPr>
      </w:pPr>
      <w:r w:rsidRPr="005B2DAB">
        <w:rPr>
          <w:rFonts w:ascii="Cambria" w:hAnsi="Cambria" w:cs="Calibri"/>
          <w:b/>
          <w:bCs/>
          <w:caps/>
          <w:color w:val="E36C0A"/>
          <w:sz w:val="44"/>
          <w:szCs w:val="44"/>
        </w:rPr>
        <w:t xml:space="preserve">Aktuální stav plnění Akčního plánu podpory malých a středních podnikatelů na rok 2015 </w:t>
      </w:r>
    </w:p>
    <w:p w:rsidR="005B2DAB" w:rsidRPr="005B2DAB" w:rsidRDefault="005B2DAB" w:rsidP="005B2DAB">
      <w:pPr>
        <w:overflowPunct/>
        <w:autoSpaceDE/>
        <w:autoSpaceDN/>
        <w:adjustRightInd/>
        <w:spacing w:after="120" w:line="240" w:lineRule="auto"/>
        <w:jc w:val="center"/>
        <w:textAlignment w:val="auto"/>
        <w:rPr>
          <w:b/>
          <w:sz w:val="44"/>
          <w:szCs w:val="44"/>
          <w:u w:val="single"/>
        </w:rPr>
      </w:pPr>
      <w:r w:rsidRPr="005B2DAB">
        <w:rPr>
          <w:rFonts w:ascii="Cambria" w:hAnsi="Cambria" w:cs="Calibri"/>
          <w:b/>
          <w:bCs/>
          <w:caps/>
          <w:color w:val="E36C0A"/>
          <w:sz w:val="44"/>
          <w:szCs w:val="44"/>
        </w:rPr>
        <w:t>a návrh Akčního plánu podpory malých a středních podnikatelů na rok 2016</w:t>
      </w: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r>
        <w:rPr>
          <w:noProof/>
        </w:rPr>
        <w:drawing>
          <wp:anchor distT="0" distB="0" distL="114300" distR="114300" simplePos="0" relativeHeight="251661312" behindDoc="1" locked="0" layoutInCell="1" allowOverlap="1">
            <wp:simplePos x="0" y="0"/>
            <wp:positionH relativeFrom="margin">
              <wp:align>center</wp:align>
            </wp:positionH>
            <wp:positionV relativeFrom="page">
              <wp:posOffset>5319395</wp:posOffset>
            </wp:positionV>
            <wp:extent cx="5760085" cy="4438650"/>
            <wp:effectExtent l="0" t="0" r="0" b="0"/>
            <wp:wrapNone/>
            <wp:docPr id="1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4438650"/>
                    </a:xfrm>
                    <a:prstGeom prst="rect">
                      <a:avLst/>
                    </a:prstGeom>
                    <a:noFill/>
                  </pic:spPr>
                </pic:pic>
              </a:graphicData>
            </a:graphic>
          </wp:anchor>
        </w:drawing>
      </w: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5B2DAB" w:rsidRDefault="005B2DAB" w:rsidP="00DE4EE7">
      <w:pPr>
        <w:spacing w:after="0"/>
        <w:jc w:val="both"/>
        <w:rPr>
          <w:b/>
          <w:sz w:val="30"/>
          <w:szCs w:val="30"/>
          <w:u w:val="single"/>
        </w:rPr>
      </w:pPr>
    </w:p>
    <w:p w:rsidR="00453555" w:rsidRPr="001859EA" w:rsidRDefault="00204559" w:rsidP="001859EA">
      <w:pPr>
        <w:pStyle w:val="Odstavecseseznamem"/>
        <w:numPr>
          <w:ilvl w:val="0"/>
          <w:numId w:val="9"/>
        </w:numPr>
        <w:spacing w:after="0"/>
        <w:jc w:val="both"/>
        <w:rPr>
          <w:b/>
          <w:sz w:val="30"/>
          <w:szCs w:val="30"/>
          <w:u w:val="single"/>
        </w:rPr>
      </w:pPr>
      <w:r w:rsidRPr="001859EA">
        <w:rPr>
          <w:b/>
          <w:sz w:val="30"/>
          <w:szCs w:val="30"/>
          <w:u w:val="single"/>
        </w:rPr>
        <w:lastRenderedPageBreak/>
        <w:t>Aktuální stav plnění</w:t>
      </w:r>
      <w:r w:rsidR="00453555" w:rsidRPr="001859EA">
        <w:rPr>
          <w:b/>
          <w:sz w:val="30"/>
          <w:szCs w:val="30"/>
          <w:u w:val="single"/>
        </w:rPr>
        <w:t xml:space="preserve"> Akčního plánu podpory malých a středních podnikatelů na rok 2015</w:t>
      </w:r>
    </w:p>
    <w:p w:rsidR="00453555" w:rsidRDefault="00453555" w:rsidP="00DE4EE7">
      <w:pPr>
        <w:spacing w:after="0"/>
        <w:rPr>
          <w:b/>
        </w:rPr>
      </w:pPr>
    </w:p>
    <w:p w:rsidR="00453555" w:rsidRPr="00453555" w:rsidRDefault="00453555" w:rsidP="00A210D4">
      <w:pPr>
        <w:spacing w:afterLines="80"/>
        <w:jc w:val="both"/>
      </w:pPr>
      <w:r w:rsidRPr="00453555">
        <w:rPr>
          <w:b/>
        </w:rPr>
        <w:t>Akční plán podpory malých a středních podnikatelů na rok 2015 (dále AP MSP 2015) je klíčovým implementačním dokumentem MPO, který reaguje na současnou situaci malých a středních podnikatelů v České republice.</w:t>
      </w:r>
      <w:r w:rsidRPr="00453555">
        <w:t xml:space="preserve"> AP MSP 2015 byl projednán v rámci Pracovního týmu pro hospodářskou politiku RHSD ČR dne 6. března 2015, následně</w:t>
      </w:r>
      <w:r w:rsidR="003209DD" w:rsidRPr="003209DD">
        <w:t xml:space="preserve"> </w:t>
      </w:r>
      <w:r w:rsidR="003209DD">
        <w:t>d</w:t>
      </w:r>
      <w:r w:rsidR="003209DD" w:rsidRPr="003209DD">
        <w:t xml:space="preserve">ne 16. března 2015 </w:t>
      </w:r>
      <w:r w:rsidRPr="00453555">
        <w:t>byl</w:t>
      </w:r>
      <w:r w:rsidR="00DE4EE7">
        <w:t xml:space="preserve"> </w:t>
      </w:r>
      <w:r w:rsidR="00DE4EE7" w:rsidRPr="00453555">
        <w:t>pod bodem "Opatření k podpoře malých a středních podniků"</w:t>
      </w:r>
      <w:r w:rsidRPr="00453555">
        <w:t xml:space="preserve"> předložen na zasedání Plenární schůze Rady hospodářské a sociální dohody České republiky. </w:t>
      </w:r>
    </w:p>
    <w:p w:rsidR="00EB34AD" w:rsidRPr="00EB34AD" w:rsidRDefault="00EB34AD" w:rsidP="00A210D4">
      <w:pPr>
        <w:spacing w:afterLines="80"/>
        <w:jc w:val="both"/>
      </w:pPr>
      <w:r w:rsidRPr="00EB34AD">
        <w:t>AP MSP byl zpracován v souladu s Koncepcí podpory malých a středních podnikatelů na období let 2014</w:t>
      </w:r>
      <w:r w:rsidR="001859EA">
        <w:t xml:space="preserve"> až </w:t>
      </w:r>
      <w:r w:rsidRPr="00EB34AD">
        <w:t>2020</w:t>
      </w:r>
      <w:r w:rsidR="001859EA">
        <w:t>,</w:t>
      </w:r>
      <w:r w:rsidRPr="00EB34AD">
        <w:t xml:space="preserve"> navazuje </w:t>
      </w:r>
      <w:r>
        <w:t xml:space="preserve">také </w:t>
      </w:r>
      <w:r w:rsidRPr="00EB34AD">
        <w:t>na vládní Akční plán na podporu hospodářského růstu a zaměstnanosti ČR a Desatero podpory malých a středních podniků Asociace malých a středních podniků a živnostníků ČR.</w:t>
      </w:r>
    </w:p>
    <w:p w:rsidR="00453555" w:rsidRPr="00453555" w:rsidRDefault="00453555" w:rsidP="00453555">
      <w:pPr>
        <w:rPr>
          <w:u w:val="single"/>
        </w:rPr>
      </w:pPr>
      <w:r w:rsidRPr="00453555">
        <w:rPr>
          <w:b/>
          <w:u w:val="single"/>
        </w:rPr>
        <w:t>Aktuální stav naplňování jednotlivých opatření AP MSP 2015</w:t>
      </w:r>
      <w:r w:rsidRPr="00453555">
        <w:rPr>
          <w:u w:val="single"/>
        </w:rPr>
        <w:t xml:space="preserve"> </w:t>
      </w:r>
    </w:p>
    <w:p w:rsidR="00453555" w:rsidRPr="00453555" w:rsidRDefault="00803E3B" w:rsidP="0038338C">
      <w:pPr>
        <w:jc w:val="both"/>
      </w:pPr>
      <w:r>
        <w:t xml:space="preserve">Realizací opatření AP MSP 2015 průběžně monitoruje Výbor pro malé a střední podniky a výrobní družstva Rady vlády pro konkurenceschopnost a hospodářský růst. </w:t>
      </w:r>
      <w:r w:rsidR="00453555" w:rsidRPr="00453555">
        <w:t xml:space="preserve">MPO v rámci AP MSP 2015 </w:t>
      </w:r>
      <w:r>
        <w:t>nadefinovalo</w:t>
      </w:r>
      <w:r w:rsidR="00453555" w:rsidRPr="00453555">
        <w:t xml:space="preserve"> 48 opatření, která byla doposud plněna následovně:</w:t>
      </w:r>
    </w:p>
    <w:p w:rsidR="00453555" w:rsidRPr="00453555" w:rsidRDefault="00453555" w:rsidP="00453555">
      <w:r w:rsidRPr="00453555">
        <w:rPr>
          <w:b/>
        </w:rPr>
        <w:t xml:space="preserve">1. </w:t>
      </w:r>
      <w:r w:rsidR="00EB34AD">
        <w:rPr>
          <w:b/>
        </w:rPr>
        <w:t xml:space="preserve">Splněno již je </w:t>
      </w:r>
      <w:r w:rsidR="00F409A0">
        <w:rPr>
          <w:b/>
        </w:rPr>
        <w:t>36 opatření, tj. 75</w:t>
      </w:r>
      <w:r w:rsidRPr="00453555">
        <w:rPr>
          <w:b/>
        </w:rPr>
        <w:t xml:space="preserve">%. </w:t>
      </w:r>
      <w:r w:rsidRPr="00453555">
        <w:t>Mezi úspěšně splněná opatření patří například:</w:t>
      </w:r>
    </w:p>
    <w:p w:rsidR="00453555" w:rsidRPr="00453555" w:rsidRDefault="00453555" w:rsidP="00F33E63">
      <w:pPr>
        <w:numPr>
          <w:ilvl w:val="0"/>
          <w:numId w:val="3"/>
        </w:numPr>
        <w:jc w:val="both"/>
        <w:rPr>
          <w:b/>
        </w:rPr>
      </w:pPr>
      <w:r w:rsidRPr="00453555">
        <w:rPr>
          <w:b/>
        </w:rPr>
        <w:t>Vyhlášení prvních 15 výzev</w:t>
      </w:r>
      <w:r w:rsidRPr="00453555">
        <w:t xml:space="preserve"> v OP PIK (Inovace, Potenciál, Partnerství znalostního transferu, Spolupráce – Internacionalizace, Spolupráce - Kolektivní výzkum, Spolupráce - Rozvoj klastru, Spolupráce - Sdílená infrastruktura, Technologie pro </w:t>
      </w:r>
      <w:proofErr w:type="spellStart"/>
      <w:r w:rsidRPr="00453555">
        <w:t>mikropodniky</w:t>
      </w:r>
      <w:proofErr w:type="spellEnd"/>
      <w:r w:rsidRPr="00453555">
        <w:t>, Marketing - Individuální účasti na veletrzích a výstavách, Nemovitosti, Školicí střediska, Úspory energie, ICT a sdílené služby - Budování a modernizace, ICT a sdílené služby - Tvorba nových IS/ICT řešení, ICT a sdílené služby - Zřizování a provoz center) a následně byly vyhlášeny</w:t>
      </w:r>
      <w:r w:rsidRPr="00453555">
        <w:rPr>
          <w:b/>
        </w:rPr>
        <w:t xml:space="preserve"> ještě 2 výzvy pro oblast podpory aplikovaného výzkumu </w:t>
      </w:r>
      <w:r w:rsidRPr="00453555">
        <w:t xml:space="preserve">(Aplikace - Bez účinné spolupráce, Aplikace - S účinnou spoluprací). </w:t>
      </w:r>
      <w:r w:rsidRPr="00453555">
        <w:rPr>
          <w:b/>
        </w:rPr>
        <w:t>Tím je nyní vyhlášeno pro OP PIK celkem 17 výzev pro 11 programů podpory.</w:t>
      </w:r>
    </w:p>
    <w:p w:rsidR="00453555" w:rsidRPr="00453555" w:rsidRDefault="00453555" w:rsidP="00453555">
      <w:pPr>
        <w:numPr>
          <w:ilvl w:val="0"/>
          <w:numId w:val="3"/>
        </w:numPr>
      </w:pPr>
      <w:r w:rsidRPr="00453555">
        <w:rPr>
          <w:b/>
        </w:rPr>
        <w:t xml:space="preserve">Zpracování předběžné (ex-ante) </w:t>
      </w:r>
      <w:r w:rsidRPr="00453555">
        <w:t>analýzy využití finančních nástrojů v OP PIK,</w:t>
      </w:r>
    </w:p>
    <w:p w:rsidR="00453555" w:rsidRPr="00453555" w:rsidRDefault="00453555" w:rsidP="00453555">
      <w:pPr>
        <w:numPr>
          <w:ilvl w:val="0"/>
          <w:numId w:val="3"/>
        </w:numPr>
      </w:pPr>
      <w:r w:rsidRPr="00453555">
        <w:t xml:space="preserve">Vyhlášení výzvy </w:t>
      </w:r>
      <w:r w:rsidRPr="00453555">
        <w:rPr>
          <w:b/>
        </w:rPr>
        <w:t>Národního programu Záruka 2015 až 2023</w:t>
      </w:r>
      <w:r w:rsidRPr="00453555">
        <w:t>,</w:t>
      </w:r>
    </w:p>
    <w:p w:rsidR="00453555" w:rsidRPr="00453555" w:rsidRDefault="00453555" w:rsidP="00453555">
      <w:pPr>
        <w:numPr>
          <w:ilvl w:val="0"/>
          <w:numId w:val="3"/>
        </w:numPr>
      </w:pPr>
      <w:r w:rsidRPr="00453555">
        <w:t xml:space="preserve">Vyhlášení výzev </w:t>
      </w:r>
      <w:r w:rsidRPr="00453555">
        <w:rPr>
          <w:b/>
        </w:rPr>
        <w:t>programu EFEKT</w:t>
      </w:r>
      <w:r w:rsidRPr="00453555">
        <w:t xml:space="preserve"> pro rok 2015,</w:t>
      </w:r>
    </w:p>
    <w:p w:rsidR="00453555" w:rsidRPr="00453555" w:rsidRDefault="0061276E" w:rsidP="00453555">
      <w:pPr>
        <w:rPr>
          <w:b/>
        </w:rPr>
      </w:pPr>
      <w:r>
        <w:rPr>
          <w:b/>
        </w:rPr>
        <w:t>2</w:t>
      </w:r>
      <w:r w:rsidR="00453555" w:rsidRPr="00453555">
        <w:rPr>
          <w:b/>
        </w:rPr>
        <w:t>.</w:t>
      </w:r>
      <w:r w:rsidR="00453555" w:rsidRPr="00453555">
        <w:t xml:space="preserve"> Doposud se</w:t>
      </w:r>
      <w:r w:rsidR="00F409A0">
        <w:rPr>
          <w:b/>
        </w:rPr>
        <w:t xml:space="preserve"> nepodařilo naplnit 12 opatření, tj. 25</w:t>
      </w:r>
      <w:r w:rsidR="00453555" w:rsidRPr="00453555">
        <w:rPr>
          <w:b/>
        </w:rPr>
        <w:t>%</w:t>
      </w:r>
      <w:r w:rsidR="00453555" w:rsidRPr="00453555">
        <w:t>.</w:t>
      </w:r>
      <w:r w:rsidR="00453555" w:rsidRPr="00453555">
        <w:rPr>
          <w:b/>
        </w:rPr>
        <w:t xml:space="preserve"> </w:t>
      </w:r>
      <w:r w:rsidR="00453555" w:rsidRPr="00453555">
        <w:t>Například:</w:t>
      </w:r>
      <w:r w:rsidR="00453555" w:rsidRPr="00453555">
        <w:rPr>
          <w:b/>
        </w:rPr>
        <w:t xml:space="preserve"> </w:t>
      </w:r>
    </w:p>
    <w:p w:rsidR="00453555" w:rsidRPr="00453555" w:rsidRDefault="00453555" w:rsidP="00F33E63">
      <w:pPr>
        <w:numPr>
          <w:ilvl w:val="0"/>
          <w:numId w:val="2"/>
        </w:numPr>
        <w:jc w:val="both"/>
      </w:pPr>
      <w:r w:rsidRPr="00453555">
        <w:rPr>
          <w:b/>
        </w:rPr>
        <w:t>Zákon o sociálním podnikání</w:t>
      </w:r>
      <w:r w:rsidRPr="00453555">
        <w:t>, který je aktuálně ve</w:t>
      </w:r>
      <w:r w:rsidRPr="00453555">
        <w:rPr>
          <w:b/>
        </w:rPr>
        <w:t xml:space="preserve"> </w:t>
      </w:r>
      <w:r w:rsidRPr="00453555">
        <w:t xml:space="preserve">fázi přípravy - účinnost zákona je plánována od 1. 1. 2017. MPO se účastní veškerých jednání k přípravě zákona o sociálním podnikání, jehož gestorem je Úřad vlády ČR. MPO podporuje sociální podnikání </w:t>
      </w:r>
      <w:r w:rsidR="00EB34AD">
        <w:t xml:space="preserve">speciální aktivitou </w:t>
      </w:r>
      <w:r w:rsidRPr="00453555">
        <w:t>v programu Záruka 2015</w:t>
      </w:r>
      <w:r w:rsidR="0041503A">
        <w:t xml:space="preserve"> až </w:t>
      </w:r>
      <w:r w:rsidRPr="00453555">
        <w:t>2023</w:t>
      </w:r>
      <w:r w:rsidR="00EB34AD">
        <w:t>.</w:t>
      </w:r>
    </w:p>
    <w:p w:rsidR="00453555" w:rsidRPr="00453555" w:rsidRDefault="00453555" w:rsidP="00F33E63">
      <w:pPr>
        <w:numPr>
          <w:ilvl w:val="0"/>
          <w:numId w:val="2"/>
        </w:numPr>
        <w:jc w:val="both"/>
      </w:pPr>
      <w:r w:rsidRPr="00453555">
        <w:rPr>
          <w:b/>
        </w:rPr>
        <w:lastRenderedPageBreak/>
        <w:t>Novela zákona č. 182/2006 Sb., o úpadku a způsobech jeho řešení</w:t>
      </w:r>
      <w:r w:rsidRPr="00453555">
        <w:t xml:space="preserve"> (insolvenční zákon) – gestorem zákona je Ministerstvo spravedlnosti. </w:t>
      </w:r>
      <w:r w:rsidR="000E1489">
        <w:t>U této novely se zatím nepodařilo dokončit legislativní proces.</w:t>
      </w:r>
    </w:p>
    <w:p w:rsidR="00453555" w:rsidRDefault="00453555" w:rsidP="00857B89">
      <w:pPr>
        <w:numPr>
          <w:ilvl w:val="0"/>
          <w:numId w:val="2"/>
        </w:numPr>
        <w:overflowPunct/>
        <w:autoSpaceDE/>
        <w:autoSpaceDN/>
        <w:adjustRightInd/>
        <w:jc w:val="both"/>
        <w:textAlignment w:val="auto"/>
        <w:rPr>
          <w:b/>
          <w:szCs w:val="24"/>
          <w:lang w:eastAsia="en-US"/>
        </w:rPr>
      </w:pPr>
      <w:r w:rsidRPr="00AF5ECC">
        <w:rPr>
          <w:b/>
        </w:rPr>
        <w:t>Programy v OP PIK:</w:t>
      </w:r>
      <w:r w:rsidRPr="00453555">
        <w:t xml:space="preserve"> </w:t>
      </w:r>
      <w:proofErr w:type="spellStart"/>
      <w:r w:rsidRPr="00453555">
        <w:t>Pre</w:t>
      </w:r>
      <w:proofErr w:type="spellEnd"/>
      <w:r w:rsidRPr="00453555">
        <w:t>-</w:t>
      </w:r>
      <w:proofErr w:type="spellStart"/>
      <w:r w:rsidRPr="00453555">
        <w:t>commercial</w:t>
      </w:r>
      <w:proofErr w:type="spellEnd"/>
      <w:r w:rsidRPr="00453555">
        <w:t xml:space="preserve"> </w:t>
      </w:r>
      <w:proofErr w:type="spellStart"/>
      <w:r w:rsidRPr="00453555">
        <w:t>procur</w:t>
      </w:r>
      <w:r w:rsidR="00962F17">
        <w:t>e</w:t>
      </w:r>
      <w:r w:rsidRPr="00453555">
        <w:t>ment</w:t>
      </w:r>
      <w:proofErr w:type="spellEnd"/>
      <w:r w:rsidRPr="00453555">
        <w:t xml:space="preserve">, Inovační vouchery, Poradenství, Expanze (rizikový kapitál), jedná se o programy z oblasti </w:t>
      </w:r>
      <w:r w:rsidRPr="00AF5ECC">
        <w:rPr>
          <w:b/>
        </w:rPr>
        <w:t xml:space="preserve">inovačního prostředí a podpory podnikavosti </w:t>
      </w:r>
      <w:r w:rsidRPr="00453555">
        <w:t>na</w:t>
      </w:r>
      <w:r w:rsidR="000E1489">
        <w:t> </w:t>
      </w:r>
      <w:r w:rsidRPr="00453555">
        <w:t>vytvoření ekosystému pro zahájení podnikání v souladu s potřebami začínajících podnikatelů a</w:t>
      </w:r>
      <w:r w:rsidR="000E1489">
        <w:t> </w:t>
      </w:r>
      <w:r w:rsidRPr="00453555">
        <w:t>na podporu směřující ke zlepšení parametrů prvků inovační infrastruktury</w:t>
      </w:r>
      <w:r w:rsidR="000E1489">
        <w:t xml:space="preserve">. Tyto </w:t>
      </w:r>
      <w:r w:rsidR="000E1489" w:rsidRPr="000E1489">
        <w:t>úkoly</w:t>
      </w:r>
      <w:r w:rsidR="000E1489">
        <w:t xml:space="preserve"> MPO jsou</w:t>
      </w:r>
      <w:r w:rsidR="000E1489" w:rsidRPr="000E1489">
        <w:t xml:space="preserve"> </w:t>
      </w:r>
      <w:r w:rsidR="000E1489">
        <w:t>v současné době zařazeny mezi nesplněné</w:t>
      </w:r>
      <w:r w:rsidR="000E1489" w:rsidRPr="000E1489">
        <w:t>, nicméně s</w:t>
      </w:r>
      <w:r w:rsidR="00AF5ECC">
        <w:t> </w:t>
      </w:r>
      <w:r w:rsidR="000E1489" w:rsidRPr="000E1489">
        <w:t>vyhlášením</w:t>
      </w:r>
      <w:r w:rsidR="00AF5ECC">
        <w:t xml:space="preserve"> výzev výše uvedených programů OP PIK</w:t>
      </w:r>
      <w:r w:rsidR="000E1489" w:rsidRPr="000E1489">
        <w:t xml:space="preserve"> se počítá v souladu s</w:t>
      </w:r>
      <w:r w:rsidR="000E1489">
        <w:t> </w:t>
      </w:r>
      <w:r w:rsidR="000E1489" w:rsidRPr="000E1489">
        <w:t>harmonogramem výzev OPPIK na konci tohoto roku, popř. během roku 2016</w:t>
      </w:r>
      <w:r w:rsidR="00AF5ECC">
        <w:t>.</w:t>
      </w:r>
      <w:r w:rsidR="000E1489" w:rsidRPr="000E1489">
        <w:t xml:space="preserve"> </w:t>
      </w:r>
      <w:r w:rsidR="00AF5ECC">
        <w:t>T</w:t>
      </w:r>
      <w:r w:rsidR="000E1489" w:rsidRPr="000E1489">
        <w:t xml:space="preserve">yto zatím nesplněné úkoly </w:t>
      </w:r>
      <w:r w:rsidR="00AF5ECC">
        <w:t xml:space="preserve">tedy </w:t>
      </w:r>
      <w:r w:rsidR="000E1489" w:rsidRPr="000E1489">
        <w:t>budou přesunuty do skupiny „splněných“.</w:t>
      </w:r>
      <w:r w:rsidRPr="00453555">
        <w:t xml:space="preserve"> </w:t>
      </w:r>
    </w:p>
    <w:p w:rsidR="00857B89" w:rsidRDefault="00857B89" w:rsidP="00857B89">
      <w:pPr>
        <w:overflowPunct/>
        <w:autoSpaceDE/>
        <w:autoSpaceDN/>
        <w:adjustRightInd/>
        <w:jc w:val="both"/>
        <w:textAlignment w:val="auto"/>
        <w:rPr>
          <w:b/>
          <w:szCs w:val="24"/>
          <w:lang w:eastAsia="en-US"/>
        </w:rPr>
      </w:pPr>
    </w:p>
    <w:p w:rsidR="00857B89" w:rsidRPr="00857B89" w:rsidRDefault="00857B89" w:rsidP="00857B89">
      <w:pPr>
        <w:overflowPunct/>
        <w:autoSpaceDE/>
        <w:autoSpaceDN/>
        <w:adjustRightInd/>
        <w:jc w:val="both"/>
        <w:textAlignment w:val="auto"/>
        <w:rPr>
          <w:b/>
          <w:szCs w:val="24"/>
          <w:lang w:eastAsia="en-US"/>
        </w:rPr>
      </w:pPr>
      <w:r>
        <w:rPr>
          <w:b/>
          <w:szCs w:val="24"/>
          <w:lang w:eastAsia="en-US"/>
        </w:rPr>
        <w:t>V příštím roce předloží MPO</w:t>
      </w:r>
      <w:r w:rsidR="00FF4106">
        <w:rPr>
          <w:b/>
          <w:szCs w:val="24"/>
          <w:lang w:eastAsia="en-US"/>
        </w:rPr>
        <w:t xml:space="preserve"> na jednání RHSD</w:t>
      </w:r>
      <w:r>
        <w:rPr>
          <w:b/>
          <w:szCs w:val="24"/>
          <w:lang w:eastAsia="en-US"/>
        </w:rPr>
        <w:t xml:space="preserve"> finální vyhodnocení Akčního plánu </w:t>
      </w:r>
      <w:r w:rsidR="00FF4106">
        <w:rPr>
          <w:b/>
          <w:szCs w:val="24"/>
          <w:lang w:eastAsia="en-US"/>
        </w:rPr>
        <w:t xml:space="preserve">podpory </w:t>
      </w:r>
      <w:r>
        <w:rPr>
          <w:b/>
          <w:szCs w:val="24"/>
          <w:lang w:eastAsia="en-US"/>
        </w:rPr>
        <w:t>malých a</w:t>
      </w:r>
      <w:r w:rsidR="00FF4106">
        <w:rPr>
          <w:b/>
          <w:szCs w:val="24"/>
          <w:lang w:eastAsia="en-US"/>
        </w:rPr>
        <w:t> </w:t>
      </w:r>
      <w:r>
        <w:rPr>
          <w:b/>
          <w:szCs w:val="24"/>
          <w:lang w:eastAsia="en-US"/>
        </w:rPr>
        <w:t>středních podnikatelů na rok 2015.</w:t>
      </w:r>
    </w:p>
    <w:p w:rsidR="00453555" w:rsidRDefault="00453555"/>
    <w:p w:rsidR="00453555" w:rsidRDefault="00453555"/>
    <w:p w:rsidR="00962F17" w:rsidRDefault="00962F17">
      <w:pPr>
        <w:sectPr w:rsidR="00962F17" w:rsidSect="00D2278F">
          <w:footerReference w:type="default" r:id="rId10"/>
          <w:pgSz w:w="11906" w:h="16838"/>
          <w:pgMar w:top="1417" w:right="1417" w:bottom="1417" w:left="1417" w:header="708" w:footer="708" w:gutter="0"/>
          <w:cols w:space="708"/>
          <w:docGrid w:linePitch="299"/>
        </w:sectPr>
      </w:pPr>
    </w:p>
    <w:p w:rsidR="00112001" w:rsidRDefault="00112001" w:rsidP="00112001">
      <w:pPr>
        <w:overflowPunct/>
        <w:autoSpaceDE/>
        <w:autoSpaceDN/>
        <w:adjustRightInd/>
        <w:spacing w:after="0" w:line="240" w:lineRule="auto"/>
        <w:textAlignment w:val="auto"/>
        <w:rPr>
          <w:rFonts w:ascii="Calibri" w:hAnsi="Calibri"/>
          <w:b/>
          <w:bCs/>
          <w:color w:val="000000"/>
          <w:sz w:val="30"/>
          <w:szCs w:val="30"/>
        </w:rPr>
      </w:pPr>
      <w:r w:rsidRPr="00896805">
        <w:rPr>
          <w:rFonts w:ascii="Calibri" w:hAnsi="Calibri"/>
          <w:b/>
          <w:bCs/>
          <w:color w:val="000000"/>
          <w:sz w:val="30"/>
          <w:szCs w:val="30"/>
        </w:rPr>
        <w:lastRenderedPageBreak/>
        <w:t>Naplňování AP MSP 2015</w:t>
      </w:r>
    </w:p>
    <w:p w:rsidR="00466A69" w:rsidRDefault="00466A69" w:rsidP="00112001">
      <w:pPr>
        <w:overflowPunct/>
        <w:autoSpaceDE/>
        <w:autoSpaceDN/>
        <w:adjustRightInd/>
        <w:spacing w:after="0" w:line="240" w:lineRule="auto"/>
        <w:textAlignment w:val="auto"/>
        <w:rPr>
          <w:rFonts w:ascii="Calibri" w:hAnsi="Calibri"/>
          <w:b/>
          <w:bCs/>
          <w:color w:val="000000"/>
          <w:sz w:val="30"/>
          <w:szCs w:val="30"/>
        </w:rPr>
      </w:pPr>
    </w:p>
    <w:tbl>
      <w:tblPr>
        <w:tblW w:w="14879" w:type="dxa"/>
        <w:tblLayout w:type="fixed"/>
        <w:tblCellMar>
          <w:left w:w="70" w:type="dxa"/>
          <w:right w:w="70" w:type="dxa"/>
        </w:tblCellMar>
        <w:tblLook w:val="04A0"/>
      </w:tblPr>
      <w:tblGrid>
        <w:gridCol w:w="343"/>
        <w:gridCol w:w="1360"/>
        <w:gridCol w:w="1157"/>
        <w:gridCol w:w="960"/>
        <w:gridCol w:w="995"/>
        <w:gridCol w:w="1417"/>
        <w:gridCol w:w="2552"/>
        <w:gridCol w:w="1984"/>
        <w:gridCol w:w="2410"/>
        <w:gridCol w:w="1701"/>
      </w:tblGrid>
      <w:tr w:rsidR="00632BA1" w:rsidRPr="00632BA1" w:rsidTr="00632BA1">
        <w:trPr>
          <w:trHeight w:val="300"/>
        </w:trPr>
        <w:tc>
          <w:tcPr>
            <w:tcW w:w="343"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Č.</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Opatření</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Termín</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Gestor</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Financování</w:t>
            </w:r>
          </w:p>
        </w:tc>
        <w:tc>
          <w:tcPr>
            <w:tcW w:w="10064" w:type="dxa"/>
            <w:gridSpan w:val="5"/>
            <w:tcBorders>
              <w:top w:val="single" w:sz="4" w:space="0" w:color="auto"/>
              <w:left w:val="nil"/>
              <w:bottom w:val="single" w:sz="4" w:space="0" w:color="auto"/>
              <w:right w:val="single" w:sz="4" w:space="0" w:color="auto"/>
            </w:tcBorders>
            <w:shd w:val="clear" w:color="auto" w:fill="auto"/>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Aktuální stav realizace opatření</w:t>
            </w:r>
          </w:p>
        </w:tc>
      </w:tr>
      <w:tr w:rsidR="00632BA1" w:rsidRPr="00632BA1" w:rsidTr="00632BA1">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Nástroj realizace opatření</w:t>
            </w:r>
          </w:p>
        </w:tc>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Představení nástroje pro realizaci</w:t>
            </w:r>
          </w:p>
        </w:tc>
        <w:tc>
          <w:tcPr>
            <w:tcW w:w="6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 xml:space="preserve">Aktuální stav </w:t>
            </w:r>
          </w:p>
        </w:tc>
      </w:tr>
      <w:tr w:rsidR="00632BA1" w:rsidRPr="00632BA1" w:rsidTr="00632BA1">
        <w:trPr>
          <w:trHeight w:val="465"/>
        </w:trPr>
        <w:tc>
          <w:tcPr>
            <w:tcW w:w="343"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2552" w:type="dxa"/>
            <w:vMerge/>
            <w:tcBorders>
              <w:top w:val="nil"/>
              <w:left w:val="single" w:sz="4" w:space="0" w:color="auto"/>
              <w:bottom w:val="single" w:sz="4" w:space="0" w:color="000000"/>
              <w:right w:val="single" w:sz="4" w:space="0" w:color="auto"/>
            </w:tcBorders>
            <w:vAlign w:val="center"/>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Opatření zrealizováno (ano/ne)*</w:t>
            </w:r>
          </w:p>
        </w:tc>
        <w:tc>
          <w:tcPr>
            <w:tcW w:w="2410" w:type="dxa"/>
            <w:tcBorders>
              <w:top w:val="nil"/>
              <w:left w:val="nil"/>
              <w:bottom w:val="single" w:sz="4" w:space="0" w:color="auto"/>
              <w:right w:val="single" w:sz="4" w:space="0" w:color="auto"/>
            </w:tcBorders>
            <w:shd w:val="clear" w:color="auto" w:fill="auto"/>
            <w:noWrap/>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Informace k plnění opatření</w:t>
            </w:r>
          </w:p>
        </w:tc>
        <w:tc>
          <w:tcPr>
            <w:tcW w:w="1701" w:type="dxa"/>
            <w:tcBorders>
              <w:top w:val="nil"/>
              <w:left w:val="nil"/>
              <w:bottom w:val="single" w:sz="4" w:space="0" w:color="auto"/>
              <w:right w:val="single" w:sz="4" w:space="0" w:color="auto"/>
            </w:tcBorders>
            <w:shd w:val="clear" w:color="auto" w:fill="auto"/>
            <w:vAlign w:val="bottom"/>
            <w:hideMark/>
          </w:tcPr>
          <w:p w:rsidR="00632BA1" w:rsidRPr="00632BA1" w:rsidRDefault="00632BA1" w:rsidP="00632BA1">
            <w:pPr>
              <w:overflowPunct/>
              <w:autoSpaceDE/>
              <w:autoSpaceDN/>
              <w:adjustRightInd/>
              <w:spacing w:after="0" w:line="240" w:lineRule="auto"/>
              <w:jc w:val="center"/>
              <w:textAlignment w:val="auto"/>
              <w:rPr>
                <w:rFonts w:ascii="Calibri" w:hAnsi="Calibri"/>
                <w:color w:val="000000"/>
                <w:sz w:val="16"/>
                <w:szCs w:val="16"/>
              </w:rPr>
            </w:pPr>
            <w:r w:rsidRPr="00632BA1">
              <w:rPr>
                <w:rFonts w:ascii="Calibri" w:hAnsi="Calibri"/>
                <w:color w:val="000000"/>
                <w:sz w:val="16"/>
                <w:szCs w:val="16"/>
              </w:rPr>
              <w:t>Finální termín realizace</w:t>
            </w:r>
          </w:p>
        </w:tc>
      </w:tr>
      <w:tr w:rsidR="00632BA1" w:rsidRPr="00632BA1" w:rsidTr="00632BA1">
        <w:trPr>
          <w:trHeight w:val="300"/>
        </w:trPr>
        <w:tc>
          <w:tcPr>
            <w:tcW w:w="14879" w:type="dxa"/>
            <w:gridSpan w:val="10"/>
            <w:tcBorders>
              <w:top w:val="single" w:sz="4" w:space="0" w:color="auto"/>
              <w:left w:val="single" w:sz="4" w:space="0" w:color="auto"/>
              <w:bottom w:val="single" w:sz="4" w:space="0" w:color="auto"/>
              <w:right w:val="single" w:sz="4" w:space="0" w:color="000000"/>
            </w:tcBorders>
            <w:shd w:val="clear" w:color="000000" w:fill="FFC000"/>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„Přátelské“ podnikatelské prostředí pro MSP</w:t>
            </w:r>
          </w:p>
        </w:tc>
      </w:tr>
      <w:tr w:rsidR="00632BA1" w:rsidRPr="00632BA1" w:rsidTr="00632BA1">
        <w:trPr>
          <w:trHeight w:val="300"/>
        </w:trPr>
        <w:tc>
          <w:tcPr>
            <w:tcW w:w="14879" w:type="dxa"/>
            <w:gridSpan w:val="10"/>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Legislativa pro podnikání a snižování administrativní zátěže</w:t>
            </w:r>
          </w:p>
        </w:tc>
      </w:tr>
      <w:tr w:rsidR="00632BA1" w:rsidRPr="00632BA1" w:rsidTr="006137DB">
        <w:trPr>
          <w:trHeight w:val="3150"/>
        </w:trPr>
        <w:tc>
          <w:tcPr>
            <w:tcW w:w="343" w:type="dxa"/>
            <w:tcBorders>
              <w:top w:val="nil"/>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w:t>
            </w:r>
          </w:p>
        </w:tc>
        <w:tc>
          <w:tcPr>
            <w:tcW w:w="1360"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Prosazování jednotných dat účinnosti právních předpisů</w:t>
            </w:r>
          </w:p>
        </w:tc>
        <w:tc>
          <w:tcPr>
            <w:tcW w:w="1157" w:type="dxa"/>
            <w:tcBorders>
              <w:top w:val="nil"/>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0F01F2" w:rsidRDefault="00632BA1" w:rsidP="00632BA1">
            <w:pPr>
              <w:overflowPunct/>
              <w:autoSpaceDE/>
              <w:autoSpaceDN/>
              <w:adjustRightInd/>
              <w:spacing w:after="0" w:line="240" w:lineRule="auto"/>
              <w:textAlignment w:val="auto"/>
              <w:rPr>
                <w:rFonts w:ascii="Calibri" w:hAnsi="Calibri"/>
                <w:sz w:val="16"/>
                <w:szCs w:val="16"/>
              </w:rPr>
            </w:pPr>
            <w:r w:rsidRPr="000F01F2">
              <w:rPr>
                <w:rFonts w:ascii="Calibri" w:hAnsi="Calibri"/>
                <w:sz w:val="16"/>
                <w:szCs w:val="16"/>
              </w:rPr>
              <w:t>MPO 41000</w:t>
            </w:r>
          </w:p>
        </w:tc>
        <w:tc>
          <w:tcPr>
            <w:tcW w:w="995"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0F01F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N</w:t>
            </w:r>
            <w:r w:rsidR="00632BA1" w:rsidRPr="00632BA1">
              <w:rPr>
                <w:rFonts w:ascii="Calibri" w:hAnsi="Calibri"/>
                <w:color w:val="000000"/>
                <w:sz w:val="16"/>
                <w:szCs w:val="16"/>
              </w:rPr>
              <w:t>evyžaduje se</w:t>
            </w:r>
          </w:p>
        </w:tc>
        <w:tc>
          <w:tcPr>
            <w:tcW w:w="1417"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Doporučení</w:t>
            </w:r>
          </w:p>
        </w:tc>
        <w:tc>
          <w:tcPr>
            <w:tcW w:w="2552" w:type="dxa"/>
            <w:tcBorders>
              <w:top w:val="nil"/>
              <w:left w:val="single" w:sz="4" w:space="0" w:color="auto"/>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Doporučení - v případech, kdy změny právních předpisů mají dopad na podnikatelské prostředí, se doporučuje aplikovat jednotná data účinnosti, tj. stanovit účinnost buď k 1. 7. nebo k 1.1.</w:t>
            </w:r>
          </w:p>
        </w:tc>
        <w:tc>
          <w:tcPr>
            <w:tcW w:w="1984"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BF097F">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Ano - za </w:t>
            </w:r>
            <w:r w:rsidR="00BF097F">
              <w:rPr>
                <w:rFonts w:ascii="Calibri" w:hAnsi="Calibri"/>
                <w:sz w:val="16"/>
                <w:szCs w:val="16"/>
              </w:rPr>
              <w:t>MPO</w:t>
            </w:r>
            <w:r w:rsidRPr="00632BA1">
              <w:rPr>
                <w:rFonts w:ascii="Calibri" w:hAnsi="Calibri"/>
                <w:sz w:val="16"/>
                <w:szCs w:val="16"/>
              </w:rPr>
              <w:t xml:space="preserve"> se úkol průběžně plní</w:t>
            </w:r>
          </w:p>
        </w:tc>
        <w:tc>
          <w:tcPr>
            <w:tcW w:w="2410"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Začátkem roku 2015 byl zaslán předsedovi LRV návrh včlenit do Legislativních pravidel vlády při jejich novelizaci - plánované na první pololetí roku 2015 - doporučení, nikoliv povinnost, aplikovat jednotná data účinnosti u právních předpisů s dopadem na podnikatelské prostředí v případech, kdy je to možné. Dne 3. 9. 2015 LRV nedoporučila vládě podněty MPO na změnu LPV přijmout. Nicméně MPO bude i nadále průběžně doporučovat, v případech kdy je to možné, využívání JDÚ (tj. buď 1. 1. nebo 1. 7.) u všech předpisů majících dopad na podnikatelské prostředí.</w:t>
            </w:r>
          </w:p>
        </w:tc>
        <w:tc>
          <w:tcPr>
            <w:tcW w:w="1701"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
        </w:tc>
      </w:tr>
      <w:tr w:rsidR="00632BA1" w:rsidRPr="00632BA1" w:rsidTr="00A523AF">
        <w:trPr>
          <w:trHeight w:val="4500"/>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lastRenderedPageBreak/>
              <w:t>2.</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Prosazování modelu </w:t>
            </w:r>
            <w:proofErr w:type="spellStart"/>
            <w:r w:rsidRPr="00632BA1">
              <w:rPr>
                <w:rFonts w:ascii="Calibri" w:hAnsi="Calibri"/>
                <w:sz w:val="16"/>
                <w:szCs w:val="16"/>
              </w:rPr>
              <w:t>one</w:t>
            </w:r>
            <w:proofErr w:type="spellEnd"/>
            <w:r w:rsidRPr="00632BA1">
              <w:rPr>
                <w:rFonts w:ascii="Calibri" w:hAnsi="Calibri"/>
                <w:sz w:val="16"/>
                <w:szCs w:val="16"/>
              </w:rPr>
              <w:t>-stop-</w:t>
            </w:r>
            <w:proofErr w:type="spellStart"/>
            <w:r w:rsidRPr="00632BA1">
              <w:rPr>
                <w:rFonts w:ascii="Calibri" w:hAnsi="Calibri"/>
                <w:sz w:val="16"/>
                <w:szCs w:val="16"/>
              </w:rPr>
              <w:t>shop</w:t>
            </w:r>
            <w:proofErr w:type="spellEnd"/>
            <w:r w:rsidRPr="00632BA1">
              <w:rPr>
                <w:rFonts w:ascii="Calibri" w:hAnsi="Calibri"/>
                <w:sz w:val="16"/>
                <w:szCs w:val="16"/>
              </w:rPr>
              <w:t xml:space="preserve"> pro zahájení podnikání obchodních společností. V první fázi prosadit přímý zápis nové společnosti do Obchodního rejstříku notáři, v druhé fázi zjednodušení zápisu a snížení poplatků</w:t>
            </w:r>
          </w:p>
        </w:tc>
        <w:tc>
          <w:tcPr>
            <w:tcW w:w="1157" w:type="dxa"/>
            <w:tcBorders>
              <w:top w:val="single" w:sz="4" w:space="0" w:color="auto"/>
              <w:left w:val="nil"/>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06/2015</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C70300">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61000</w:t>
            </w:r>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0F01F2"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V</w:t>
            </w:r>
            <w:r w:rsidR="00632BA1" w:rsidRPr="00632BA1">
              <w:rPr>
                <w:rFonts w:ascii="Calibri" w:hAnsi="Calibri"/>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Změna legislativní úpravy jako splnění jedné z předběžných podmínek pro čerpání fondů EU vyplývající z Revize Evropského aktu pro malé a střední podniky (SBA) z roku 2011 - Snížení nutných nákladů na založení podniku. Zákon, kterým se mění zákon č. 549/1991 Sb., o soudních poplatcích, ve znění pozdějších předpisů.</w:t>
            </w:r>
          </w:p>
        </w:tc>
        <w:tc>
          <w:tcPr>
            <w:tcW w:w="2552"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Zákon, kterým se mění zákon č. 549/1991 Sb., o soudních poplatcích, ve znění pozdějších předpisů</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C70300">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 - novela zákona č. 549/1991 Sb., o soudních poplatcích, se nachází v PS Parlamentu ČR (tisk 497), dne 3. 9. 2015 byla výborem ústavně právním projednána a PS Parlamentu ČR bylo doporučeno návrh schválit. Tisk je zařazen na 36. schůzi</w:t>
            </w:r>
            <w:r w:rsidR="00C70300">
              <w:rPr>
                <w:rFonts w:ascii="Calibri" w:hAnsi="Calibri"/>
                <w:sz w:val="16"/>
                <w:szCs w:val="16"/>
              </w:rPr>
              <w:t xml:space="preserve"> </w:t>
            </w:r>
            <w:r w:rsidR="00C70300" w:rsidRPr="00632BA1">
              <w:rPr>
                <w:rFonts w:ascii="Calibri" w:hAnsi="Calibri"/>
                <w:sz w:val="16"/>
                <w:szCs w:val="16"/>
              </w:rPr>
              <w:t>od 24. 11. 2015</w:t>
            </w:r>
            <w:r w:rsidRPr="00632BA1">
              <w:rPr>
                <w:rFonts w:ascii="Calibri" w:hAnsi="Calibri"/>
                <w:sz w:val="16"/>
                <w:szCs w:val="16"/>
              </w:rPr>
              <w:t>.</w:t>
            </w:r>
          </w:p>
        </w:tc>
        <w:tc>
          <w:tcPr>
            <w:tcW w:w="241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C70300"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MPO</w:t>
            </w:r>
            <w:r w:rsidR="00632BA1" w:rsidRPr="00632BA1">
              <w:rPr>
                <w:rFonts w:ascii="Calibri" w:hAnsi="Calibri"/>
                <w:sz w:val="16"/>
                <w:szCs w:val="16"/>
              </w:rPr>
              <w:t xml:space="preserve"> opatření sleduje pouze v kontextu plnění předběžných podmínek ve vazbě na OP PIK. Aktuálně je sledována novela zákona č. 549/1991 Sb., o soudních poplatcích, která by měla zajistit splnění požadavku EK na snížení nákladů na založení podniku. Novela je v legislativním procesu - sněmovní tisk č. 497. Veškeré informace k tisku č. 497 jsou dostupné na http://www.psp.cz/sqw/historie.sqw?o=7&amp;T=497 . Zákon, kterým se mění zákon č. 549/1991 Sb., o soudních poplatcích, ve znění </w:t>
            </w:r>
            <w:proofErr w:type="spellStart"/>
            <w:r w:rsidR="00632BA1" w:rsidRPr="00632BA1">
              <w:rPr>
                <w:rFonts w:ascii="Calibri" w:hAnsi="Calibri"/>
                <w:sz w:val="16"/>
                <w:szCs w:val="16"/>
              </w:rPr>
              <w:t>p.p</w:t>
            </w:r>
            <w:proofErr w:type="spellEnd"/>
            <w:r w:rsidR="00632BA1" w:rsidRPr="00632BA1">
              <w:rPr>
                <w:rFonts w:ascii="Calibri" w:hAnsi="Calibri"/>
                <w:sz w:val="16"/>
                <w:szCs w:val="16"/>
              </w:rPr>
              <w:t xml:space="preserve">., schválila vláda usnesením č. 367 dne 18. května 2015. První čtení proběhlo 7. 7. 2015 a návrh zákona byl přikázán k projednání výborům. Výbor ústavně právní návrh zákona projednal dne 3. 9. 2015 a doporučil PS Parlamentu ČR návrh schválit. Novela je zařazena na 36. schůzi od 24. 11. 2015. </w:t>
            </w:r>
          </w:p>
        </w:tc>
        <w:tc>
          <w:tcPr>
            <w:tcW w:w="1701"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D2278F">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Návrh účinnosti 15.</w:t>
            </w:r>
            <w:r w:rsidR="00D2278F">
              <w:rPr>
                <w:rFonts w:ascii="Calibri" w:hAnsi="Calibri"/>
                <w:sz w:val="16"/>
                <w:szCs w:val="16"/>
              </w:rPr>
              <w:t> </w:t>
            </w:r>
            <w:r w:rsidRPr="00632BA1">
              <w:rPr>
                <w:rFonts w:ascii="Calibri" w:hAnsi="Calibri"/>
                <w:sz w:val="16"/>
                <w:szCs w:val="16"/>
              </w:rPr>
              <w:t>dnem pro vyhlášení</w:t>
            </w:r>
          </w:p>
        </w:tc>
      </w:tr>
      <w:tr w:rsidR="00632BA1" w:rsidRPr="00632BA1" w:rsidTr="00A523AF">
        <w:trPr>
          <w:trHeight w:val="1350"/>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Spolupráce na úpravě předpisů upravujících vstupní náklady na zahájení podnikání</w:t>
            </w:r>
          </w:p>
        </w:tc>
        <w:tc>
          <w:tcPr>
            <w:tcW w:w="1157" w:type="dxa"/>
            <w:tcBorders>
              <w:top w:val="single" w:sz="4" w:space="0" w:color="auto"/>
              <w:left w:val="nil"/>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Průběžně</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41000 (změna gesce na MPO 61000)</w:t>
            </w:r>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přechozí bod</w:t>
            </w:r>
          </w:p>
        </w:tc>
        <w:tc>
          <w:tcPr>
            <w:tcW w:w="2552"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přechozí bod</w:t>
            </w:r>
          </w:p>
        </w:tc>
        <w:tc>
          <w:tcPr>
            <w:tcW w:w="1984"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přechozí bod</w:t>
            </w:r>
          </w:p>
        </w:tc>
        <w:tc>
          <w:tcPr>
            <w:tcW w:w="241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přechozí bod</w:t>
            </w:r>
          </w:p>
        </w:tc>
        <w:tc>
          <w:tcPr>
            <w:tcW w:w="1701"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přechozí bod</w:t>
            </w:r>
          </w:p>
        </w:tc>
      </w:tr>
      <w:tr w:rsidR="00632BA1" w:rsidRPr="00632BA1" w:rsidTr="00A523AF">
        <w:trPr>
          <w:trHeight w:val="42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4.</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Spolupráce na úpravě kvalifikačních kritérií pro specializované řemeslné profese a na stanovení hodnotících a kvalifikačních standardů pro profesní kvalifikace </w:t>
            </w:r>
          </w:p>
        </w:tc>
        <w:tc>
          <w:tcPr>
            <w:tcW w:w="1157"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41000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N</w:t>
            </w:r>
            <w:r w:rsidR="00632BA1" w:rsidRPr="00632BA1">
              <w:rPr>
                <w:rFonts w:ascii="Calibri" w:hAnsi="Calibri"/>
                <w:color w:val="000000"/>
                <w:sz w:val="16"/>
                <w:szCs w:val="16"/>
              </w:rPr>
              <w:t>evyžaduje se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Problematika stanovení hodnotících a kvalifikačních standardů pro profesní kvalifikaci se řeší zákonem č. 179/2006 Sb. a spadá do gesce Sekce 31000. Návaznost na úpravu profesních kvalifikací u živností řemeslných a případně vázaných a koncesovaných v živnostenském zákoně, tak jak je postupně realizována podle Národní soustavy kvalifikací, bude promítnuta do novelizace zákona č. 455/1991 Sb., o živnostenském podnikání (živnostenský zákon).  </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MPO ve spolupráci s MŠMT připravilo v souvislosti s novelizací zákona č. 18/2004 Sb., o uznávání odborné kvalifikace (tisk č. 581) novelu živnostenského zákona, kdy bude možné jednoznačně prokázat odbornou způsobilost pro řemeslné živnosti i doložením úplné profesní kvalifikace podle Národní soustavy kvalifikací a dále se umožní prokázat odbornou způsobilost i dokladem o získání příslušné profesní kvalifikace u dalších 5 vázaných a řemeslných živností.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 - úkol je průběžně plněn, pokud se týká řešení problematiky ve vazbě na zákon o živnostenském podnikání. Primárně se problematika řeší zákonem č. 179/2006 Sb.</w:t>
            </w:r>
            <w:r w:rsidR="005B2A69">
              <w:rPr>
                <w:rFonts w:ascii="Calibri" w:hAnsi="Calibri"/>
                <w:sz w:val="16"/>
                <w:szCs w:val="16"/>
              </w:rPr>
              <w:t>,</w:t>
            </w:r>
            <w:r w:rsidR="005B2A69">
              <w:t xml:space="preserve"> </w:t>
            </w:r>
            <w:r w:rsidR="005B2A69" w:rsidRPr="005B2A69">
              <w:rPr>
                <w:rFonts w:ascii="Calibri" w:hAnsi="Calibri"/>
                <w:sz w:val="16"/>
                <w:szCs w:val="16"/>
              </w:rPr>
              <w:t>o ověřování a uznávání výsledků dalšího vzdělávání a o změně některých zákonů (zákon o uznávání výsledků dalšího vzdělávání)</w:t>
            </w:r>
            <w:r w:rsidR="005B2A69">
              <w:rPr>
                <w:rFonts w:ascii="Calibri" w:hAnsi="Calibri"/>
                <w:sz w:val="16"/>
                <w:szCs w:val="16"/>
              </w:rPr>
              <w:t xml:space="preserve">. </w:t>
            </w:r>
          </w:p>
        </w:tc>
        <w:tc>
          <w:tcPr>
            <w:tcW w:w="2410"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Návrh uvedené novely živnostenského zákona byl projednán vládou dne 29. 7. 2015 (usnesení vlády č. 596) a v současné době se nachází v PS Parlamentu ČR (je součástí tisku 581) a je zařazen na 36. schůzi od 24. 11. 2015.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Navrhovaný termín účinnosti uvedené novely živnostenského zákona je 1. 1. 2016</w:t>
            </w:r>
          </w:p>
        </w:tc>
      </w:tr>
      <w:tr w:rsidR="00632BA1" w:rsidRPr="00632BA1" w:rsidTr="00A523AF">
        <w:trPr>
          <w:trHeight w:val="3375"/>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5.</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Příprava návrhu novely zákona o insolvenci tak, aby (nedobrovolné) ukončení podnikání bylo jednodušší. </w:t>
            </w:r>
          </w:p>
        </w:tc>
        <w:tc>
          <w:tcPr>
            <w:tcW w:w="1157" w:type="dxa"/>
            <w:tcBorders>
              <w:top w:val="single" w:sz="4" w:space="0" w:color="auto"/>
              <w:left w:val="nil"/>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MPO 41000 (změna gesce na </w:t>
            </w:r>
            <w:proofErr w:type="spellStart"/>
            <w:r w:rsidRPr="00632BA1">
              <w:rPr>
                <w:rFonts w:ascii="Calibri" w:hAnsi="Calibri"/>
                <w:color w:val="000000"/>
                <w:sz w:val="16"/>
                <w:szCs w:val="16"/>
              </w:rPr>
              <w:t>MSp</w:t>
            </w:r>
            <w:proofErr w:type="spellEnd"/>
            <w:r w:rsidRPr="00632BA1">
              <w:rPr>
                <w:rFonts w:ascii="Calibri" w:hAnsi="Calibri"/>
                <w:color w:val="000000"/>
                <w:sz w:val="16"/>
                <w:szCs w:val="16"/>
              </w:rPr>
              <w:t>)</w:t>
            </w:r>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Dokončení legislativního procesu novely insolvenčního zákona v gesci Ministerstva spravedlnosti - Novela zákona č. 182/2006 Sb., o úpadku a způsobech jeho řešení (insolvenční zákon) -  dokončování všech právních postupů spojených s ukončením činnosti podniků v případě úpadku do jednoho roku, aby znova začínající podniky měly rovné podmínky s podniky novými včetně režimu podpory. </w:t>
            </w:r>
          </w:p>
        </w:tc>
        <w:tc>
          <w:tcPr>
            <w:tcW w:w="2552"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Intenzivně probíhá příprava produktu ve spolupráci AMSP s Ministerstvem spravedlnosti. </w:t>
            </w:r>
          </w:p>
        </w:tc>
        <w:tc>
          <w:tcPr>
            <w:tcW w:w="1984"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Ne </w:t>
            </w:r>
          </w:p>
        </w:tc>
        <w:tc>
          <w:tcPr>
            <w:tcW w:w="2410"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Navrhovaná účinnost novela insolvenčního zákona je prvním dnem kalendářního měsíce následujícího po dne vyhlášení</w:t>
            </w:r>
          </w:p>
        </w:tc>
      </w:tr>
      <w:tr w:rsidR="00632BA1" w:rsidRPr="00632BA1" w:rsidTr="00A523AF">
        <w:trPr>
          <w:trHeight w:val="112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6.</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Finanční podpora předávání firem (koupě obchodního závodu)</w:t>
            </w:r>
          </w:p>
        </w:tc>
        <w:tc>
          <w:tcPr>
            <w:tcW w:w="115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MSP 61000</w:t>
            </w:r>
          </w:p>
        </w:tc>
        <w:tc>
          <w:tcPr>
            <w:tcW w:w="9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rostředky MPO na účtech ČMZRB</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Národní program Záruka 2015-2023</w:t>
            </w:r>
          </w:p>
        </w:tc>
        <w:tc>
          <w:tcPr>
            <w:tcW w:w="2552" w:type="dxa"/>
            <w:tcBorders>
              <w:top w:val="single" w:sz="4" w:space="0" w:color="auto"/>
              <w:left w:val="nil"/>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poskytnutím záruky malým a středním podnikatelům je podporováno získání bankovního úvěru na koupi obchodního závodu.</w:t>
            </w:r>
          </w:p>
        </w:tc>
        <w:tc>
          <w:tcPr>
            <w:tcW w:w="1984" w:type="dxa"/>
            <w:tcBorders>
              <w:top w:val="single" w:sz="4" w:space="0" w:color="auto"/>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000000"/>
              <w:right w:val="single" w:sz="4" w:space="0" w:color="000000"/>
            </w:tcBorders>
            <w:shd w:val="clear" w:color="auto" w:fill="C2D69B" w:themeFill="accent3" w:themeFillTint="99"/>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
        </w:tc>
        <w:tc>
          <w:tcPr>
            <w:tcW w:w="1701" w:type="dxa"/>
            <w:tcBorders>
              <w:top w:val="single" w:sz="4" w:space="0" w:color="auto"/>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 důvodu vyčerpání finanční kapacity pro rok 2015, byl k 21. 9. 2015 pozastaven příjem žádostí</w:t>
            </w:r>
          </w:p>
        </w:tc>
      </w:tr>
      <w:tr w:rsidR="00632BA1" w:rsidRPr="00632BA1" w:rsidTr="00A523AF">
        <w:trPr>
          <w:trHeight w:val="180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7.</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Realizace opatření vyplývajících ze Zprávy o pokroku ve snižování administrativní zátěže podnikatelů</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12/2015</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41000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nil"/>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Realizace 60-ti opatření na odstranění administrativní zátěže podnikatelů do konce roku 2015</w:t>
            </w:r>
          </w:p>
        </w:tc>
        <w:tc>
          <w:tcPr>
            <w:tcW w:w="2552" w:type="dxa"/>
            <w:tcBorders>
              <w:top w:val="single" w:sz="4" w:space="0" w:color="auto"/>
              <w:left w:val="single" w:sz="4" w:space="0" w:color="auto"/>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Opatření jsou navržena jednotlivými resorty a některá vycházejí z požadavků podnikatelů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5B2A69">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Ano - úkol je za </w:t>
            </w:r>
            <w:r w:rsidR="005B2A69">
              <w:rPr>
                <w:rFonts w:ascii="Calibri" w:hAnsi="Calibri"/>
                <w:sz w:val="16"/>
                <w:szCs w:val="16"/>
              </w:rPr>
              <w:t>MPO</w:t>
            </w:r>
            <w:r w:rsidRPr="00632BA1">
              <w:rPr>
                <w:rFonts w:ascii="Calibri" w:hAnsi="Calibri"/>
                <w:sz w:val="16"/>
                <w:szCs w:val="16"/>
              </w:rPr>
              <w:t xml:space="preserve"> průběžně plněn</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Opatření jsou resorty plněna dle nastaveného harmonogramu (viz Zpráva o pokroku ve snižování administrativní zátěže podnikatelů za rok 2014 schválená usnesením vlády č. 522 dne 1. </w:t>
            </w:r>
            <w:r w:rsidRPr="005B2A69">
              <w:rPr>
                <w:rFonts w:ascii="Calibri" w:hAnsi="Calibri"/>
                <w:bCs/>
                <w:sz w:val="16"/>
                <w:szCs w:val="16"/>
              </w:rPr>
              <w:t>7</w:t>
            </w:r>
            <w:r w:rsidRPr="005B2A69">
              <w:rPr>
                <w:rFonts w:ascii="Calibri" w:hAnsi="Calibri"/>
                <w:sz w:val="16"/>
                <w:szCs w:val="16"/>
              </w:rPr>
              <w:t>.</w:t>
            </w:r>
            <w:r w:rsidRPr="00632BA1">
              <w:rPr>
                <w:rFonts w:ascii="Calibri" w:hAnsi="Calibri"/>
                <w:sz w:val="16"/>
                <w:szCs w:val="16"/>
              </w:rPr>
              <w:t xml:space="preserve"> 2015).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31. 12. 2015 (Zpráva s informací o stavu plnění 60-ti opatření bude předložena vládě ČR do 30. 6. 2016)</w:t>
            </w:r>
          </w:p>
        </w:tc>
      </w:tr>
      <w:tr w:rsidR="00632BA1" w:rsidRPr="00632BA1" w:rsidTr="003B1C43">
        <w:trPr>
          <w:trHeight w:val="225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8.</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Spolupráce na novele zákona o veřejných zakázkách s cílem usnadnit účast malých a středních podniků na veřejných zakázkách</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10000,</w:t>
            </w:r>
            <w:r w:rsidRPr="00632BA1">
              <w:rPr>
                <w:rFonts w:ascii="Calibri" w:hAnsi="Calibri"/>
                <w:color w:val="000000"/>
                <w:sz w:val="16"/>
                <w:szCs w:val="16"/>
              </w:rPr>
              <w:br/>
              <w:t>MPO 61000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D2278F">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MMR připravuje novelu zákona o veřejných zakázkách</w:t>
            </w:r>
            <w:r w:rsidRPr="00632BA1">
              <w:rPr>
                <w:rFonts w:ascii="Calibri" w:hAnsi="Calibri"/>
                <w:sz w:val="16"/>
                <w:szCs w:val="16"/>
              </w:rPr>
              <w:br/>
            </w:r>
            <w:r w:rsidRPr="00632BA1">
              <w:rPr>
                <w:rFonts w:ascii="Calibri" w:hAnsi="Calibri"/>
                <w:sz w:val="16"/>
                <w:szCs w:val="16"/>
              </w:rPr>
              <w:br/>
            </w:r>
          </w:p>
        </w:tc>
        <w:tc>
          <w:tcPr>
            <w:tcW w:w="2552"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Při přípravě nového zákona o zadávání veřejných zakázek spolupracovala sekce 10000 s Ministerstvem pro místní rozvoj a i připomínky v rámci meziresortního připomínkového řízení byly následně koncipovány tak, aby účast malých a středních podniků na veřejných zakázkách byla usnadněna. V této oblasti návrh nového zákona podporuje zejména dělení veřejných zakázek na části, které umožní účast malých a středních podniků v soutěži i v případech zadávání veřejných zakázek s větším rozsahem předpokládaného plnění a celkovou velkou předpokládanou hodnotou. Menší dodavatelé se tak budou moci účastnit jednotlivých dílčích částí veřejné zakázky, neboť dělení umožňuje snížit kvalifikační požadavky a vyčlenit jednodušší práce realizovatelné více uchazeči.</w:t>
            </w:r>
          </w:p>
        </w:tc>
        <w:tc>
          <w:tcPr>
            <w:tcW w:w="1984"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Ano - za MPO splněno</w:t>
            </w:r>
          </w:p>
        </w:tc>
        <w:tc>
          <w:tcPr>
            <w:tcW w:w="241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7D6447">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MMR v roce 2014 připravilo novelu zákona o VZ, na přelomu 2014/2015 potom bylo Ministerstvem pro místní rozvoj připraveno úplně nové znění zákona, které vstoupí v platnost nejdéle v 04/2016. </w:t>
            </w:r>
          </w:p>
        </w:tc>
        <w:tc>
          <w:tcPr>
            <w:tcW w:w="1701" w:type="dxa"/>
            <w:tcBorders>
              <w:top w:val="nil"/>
              <w:left w:val="nil"/>
              <w:bottom w:val="single" w:sz="4" w:space="0" w:color="auto"/>
              <w:right w:val="single" w:sz="4" w:space="0" w:color="auto"/>
            </w:tcBorders>
            <w:shd w:val="clear" w:color="auto" w:fill="C2D69B" w:themeFill="accent3" w:themeFillTint="99"/>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r>
      <w:tr w:rsidR="00632BA1" w:rsidRPr="00632BA1" w:rsidTr="003B1C43">
        <w:trPr>
          <w:trHeight w:val="1350"/>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9.</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Příprava návrhu zákona o sociálním podnikání</w:t>
            </w:r>
          </w:p>
        </w:tc>
        <w:tc>
          <w:tcPr>
            <w:tcW w:w="115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12/2015</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61000</w:t>
            </w:r>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A61A11"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N</w:t>
            </w:r>
            <w:r w:rsidR="00632BA1" w:rsidRPr="00632BA1">
              <w:rPr>
                <w:rFonts w:ascii="Calibri" w:hAnsi="Calibri"/>
                <w:sz w:val="16"/>
                <w:szCs w:val="16"/>
              </w:rPr>
              <w:t>evyžaduje se</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Zákon o sociálním podnikání</w:t>
            </w:r>
          </w:p>
        </w:tc>
        <w:tc>
          <w:tcPr>
            <w:tcW w:w="2552"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Předmětem úpravy jsou podmínky sociálního podnikání a druhy sociálních podniků, podmínky vzniku a vedení veřejně přístupného seznamu sociálních podniků, dohled nad ním, podmínky zápisu a některá související práva a povinnosti zapsaných subjektů a některé sankce za porušení podmínek, zmocnění k úpravě kompetenci orgánu vlády, základy koordinované strategie rozvoje sociální ekonomiky a podpory sociálního podnikání.</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w:t>
            </w:r>
          </w:p>
        </w:tc>
        <w:tc>
          <w:tcPr>
            <w:tcW w:w="241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c>
          <w:tcPr>
            <w:tcW w:w="1701"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Účinnost je</w:t>
            </w:r>
            <w:r w:rsidR="00D2278F">
              <w:rPr>
                <w:rFonts w:ascii="Calibri" w:hAnsi="Calibri"/>
                <w:sz w:val="16"/>
                <w:szCs w:val="16"/>
              </w:rPr>
              <w:t xml:space="preserve"> nyní</w:t>
            </w:r>
            <w:r w:rsidRPr="00632BA1">
              <w:rPr>
                <w:rFonts w:ascii="Calibri" w:hAnsi="Calibri"/>
                <w:sz w:val="16"/>
                <w:szCs w:val="16"/>
              </w:rPr>
              <w:t xml:space="preserve"> plánována od 1. 1. 2017</w:t>
            </w:r>
          </w:p>
        </w:tc>
      </w:tr>
      <w:tr w:rsidR="00632BA1" w:rsidRPr="00632BA1" w:rsidTr="002941EE">
        <w:trPr>
          <w:trHeight w:val="450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10.</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Podpora finančně zdravých podnikatelských subjektů při hledání investorů (nových vlastníků)</w:t>
            </w:r>
          </w:p>
        </w:tc>
        <w:tc>
          <w:tcPr>
            <w:tcW w:w="11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p>
        </w:tc>
        <w:tc>
          <w:tcPr>
            <w:tcW w:w="9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A61A11" w:rsidP="00693327">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r>
              <w:rPr>
                <w:rFonts w:ascii="Calibri" w:hAnsi="Calibri"/>
                <w:color w:val="000000"/>
                <w:sz w:val="16"/>
                <w:szCs w:val="16"/>
              </w:rPr>
              <w:t xml:space="preserve"> </w:t>
            </w:r>
            <w:r w:rsidR="00632BA1" w:rsidRPr="00632BA1">
              <w:rPr>
                <w:rFonts w:ascii="Calibri" w:hAnsi="Calibri"/>
                <w:color w:val="000000"/>
                <w:sz w:val="16"/>
                <w:szCs w:val="16"/>
              </w:rPr>
              <w:t>+</w:t>
            </w:r>
            <w:r>
              <w:rPr>
                <w:rFonts w:ascii="Calibri" w:hAnsi="Calibri"/>
                <w:color w:val="000000"/>
                <w:sz w:val="16"/>
                <w:szCs w:val="16"/>
              </w:rPr>
              <w:t xml:space="preserve"> </w:t>
            </w:r>
            <w:r w:rsidR="00693327">
              <w:rPr>
                <w:rFonts w:ascii="Calibri" w:hAnsi="Calibri"/>
                <w:color w:val="000000"/>
                <w:sz w:val="16"/>
                <w:szCs w:val="16"/>
              </w:rPr>
              <w:t>OP</w:t>
            </w:r>
            <w:r>
              <w:rPr>
                <w:rFonts w:ascii="Calibri" w:hAnsi="Calibri"/>
                <w:color w:val="000000"/>
                <w:sz w:val="16"/>
                <w:szCs w:val="16"/>
              </w:rPr>
              <w:t xml:space="preserve"> </w:t>
            </w:r>
            <w:r w:rsidR="00693327">
              <w:rPr>
                <w:rFonts w:ascii="Calibri" w:hAnsi="Calibri"/>
                <w:color w:val="000000"/>
                <w:sz w:val="16"/>
                <w:szCs w:val="16"/>
              </w:rPr>
              <w:t>PIK</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Rizikový kapitál v rámci PO2</w:t>
            </w:r>
            <w:r w:rsidR="00266FC7">
              <w:rPr>
                <w:rFonts w:ascii="Calibri" w:hAnsi="Calibri"/>
                <w:sz w:val="16"/>
                <w:szCs w:val="16"/>
              </w:rPr>
              <w:t xml:space="preserve"> OPPIK</w:t>
            </w:r>
            <w:r w:rsidRPr="00632BA1">
              <w:rPr>
                <w:rFonts w:ascii="Calibri" w:hAnsi="Calibri"/>
                <w:sz w:val="16"/>
                <w:szCs w:val="16"/>
              </w:rPr>
              <w:br/>
            </w:r>
            <w:r w:rsidRPr="00632BA1">
              <w:rPr>
                <w:rFonts w:ascii="Calibri" w:hAnsi="Calibri"/>
                <w:sz w:val="16"/>
                <w:szCs w:val="16"/>
              </w:rPr>
              <w:br/>
              <w:t>Interní projekt CI v rámci programu Marketing "Internacionalizace MSP"</w:t>
            </w:r>
          </w:p>
        </w:tc>
        <w:tc>
          <w:tcPr>
            <w:tcW w:w="2552" w:type="dxa"/>
            <w:tcBorders>
              <w:top w:val="single" w:sz="4" w:space="0" w:color="auto"/>
              <w:left w:val="single" w:sz="4" w:space="0" w:color="auto"/>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roofErr w:type="spellStart"/>
            <w:r w:rsidRPr="00632BA1">
              <w:rPr>
                <w:rFonts w:ascii="Calibri" w:hAnsi="Calibri"/>
                <w:sz w:val="16"/>
                <w:szCs w:val="16"/>
              </w:rPr>
              <w:t>CzechLink</w:t>
            </w:r>
            <w:proofErr w:type="spellEnd"/>
            <w:r w:rsidRPr="00632BA1">
              <w:rPr>
                <w:rFonts w:ascii="Calibri" w:hAnsi="Calibri"/>
                <w:sz w:val="16"/>
                <w:szCs w:val="16"/>
              </w:rPr>
              <w:t xml:space="preserve"> Projekt je určen pro české podniky, které hledají strategického nebo investičního partnera. Projekt podporuje akvizice stávajících společností a vznik Joint Venture partnerství.</w:t>
            </w:r>
            <w:r w:rsidRPr="00632BA1">
              <w:rPr>
                <w:rFonts w:ascii="Calibri" w:hAnsi="Calibri"/>
                <w:sz w:val="16"/>
                <w:szCs w:val="16"/>
              </w:rPr>
              <w:br/>
              <w:t xml:space="preserve">Hlavním cílem projektu je usnadnit českým podnikům kontakt se zahraničními investory, kapitálově posílit podnikatelské subjekty, zajistit jejich další růst a zvýšit příliv zahraničních investic do České republiky. </w:t>
            </w:r>
            <w:r w:rsidRPr="00632BA1">
              <w:rPr>
                <w:rFonts w:ascii="Calibri" w:hAnsi="Calibri"/>
                <w:sz w:val="16"/>
                <w:szCs w:val="16"/>
              </w:rPr>
              <w:br/>
            </w:r>
            <w:r w:rsidRPr="00632BA1">
              <w:rPr>
                <w:rFonts w:ascii="Calibri" w:hAnsi="Calibri"/>
                <w:sz w:val="16"/>
                <w:szCs w:val="16"/>
              </w:rPr>
              <w:br/>
            </w:r>
            <w:proofErr w:type="spellStart"/>
            <w:r w:rsidRPr="00632BA1">
              <w:rPr>
                <w:rFonts w:ascii="Calibri" w:hAnsi="Calibri"/>
                <w:sz w:val="16"/>
                <w:szCs w:val="16"/>
              </w:rPr>
              <w:t>CzechEkosystem</w:t>
            </w:r>
            <w:proofErr w:type="spellEnd"/>
            <w:r w:rsidRPr="00632BA1">
              <w:rPr>
                <w:rFonts w:ascii="Calibri" w:hAnsi="Calibri"/>
                <w:sz w:val="16"/>
                <w:szCs w:val="16"/>
              </w:rPr>
              <w:t xml:space="preserve"> - Příprava MSP pro </w:t>
            </w:r>
            <w:r w:rsidR="009A1F81" w:rsidRPr="00632BA1">
              <w:rPr>
                <w:rFonts w:ascii="Calibri" w:hAnsi="Calibri"/>
                <w:sz w:val="16"/>
                <w:szCs w:val="16"/>
              </w:rPr>
              <w:t>vstup</w:t>
            </w:r>
            <w:r w:rsidRPr="00632BA1">
              <w:rPr>
                <w:rFonts w:ascii="Calibri" w:hAnsi="Calibri"/>
                <w:sz w:val="16"/>
                <w:szCs w:val="16"/>
              </w:rPr>
              <w:t xml:space="preserve"> rizikového kapitálu (Příprava pro NIF)  </w:t>
            </w:r>
            <w:r w:rsidRPr="00632BA1">
              <w:rPr>
                <w:rFonts w:ascii="Calibri" w:hAnsi="Calibri"/>
                <w:sz w:val="16"/>
                <w:szCs w:val="16"/>
              </w:rPr>
              <w:br/>
              <w:t xml:space="preserve">Projekt </w:t>
            </w:r>
            <w:proofErr w:type="spellStart"/>
            <w:r w:rsidRPr="00632BA1">
              <w:rPr>
                <w:rFonts w:ascii="Calibri" w:hAnsi="Calibri"/>
                <w:sz w:val="16"/>
                <w:szCs w:val="16"/>
              </w:rPr>
              <w:t>CzechEkoSystem</w:t>
            </w:r>
            <w:proofErr w:type="spellEnd"/>
            <w:r w:rsidRPr="00632BA1">
              <w:rPr>
                <w:rFonts w:ascii="Calibri" w:hAnsi="Calibri"/>
                <w:sz w:val="16"/>
                <w:szCs w:val="16"/>
              </w:rPr>
              <w:t xml:space="preserve"> je zaměřen na efektivní rozvoj aktivit žadatelů z prostředí malého a středního podnikání (MSP) při jejich inovačním podnikání, prostřednictvím zvýhodněného poradenství a za systematické účasti Kouče (Mentora). Žadateli účast v projektu umožní získání praktických zkušeností při komercializaci vlastního produktu, praktické uplatnění podnikatelského plánu a posílení marketingových a manažerských schopností tak, aby se významným způsobem zvýšila schopnost žadatelů překonat počáteční problémy při rozjezdu podnikání a podpořila se tak atraktivita podnikatelského záměru žadatele pro rizikový kapitál (především tzv. </w:t>
            </w:r>
            <w:proofErr w:type="spellStart"/>
            <w:r w:rsidRPr="00632BA1">
              <w:rPr>
                <w:rFonts w:ascii="Calibri" w:hAnsi="Calibri"/>
                <w:sz w:val="16"/>
                <w:szCs w:val="16"/>
              </w:rPr>
              <w:t>seed</w:t>
            </w:r>
            <w:proofErr w:type="spellEnd"/>
            <w:r w:rsidRPr="00632BA1">
              <w:rPr>
                <w:rFonts w:ascii="Calibri" w:hAnsi="Calibri"/>
                <w:sz w:val="16"/>
                <w:szCs w:val="16"/>
              </w:rPr>
              <w:t xml:space="preserve"> </w:t>
            </w:r>
            <w:proofErr w:type="spellStart"/>
            <w:r w:rsidRPr="00632BA1">
              <w:rPr>
                <w:rFonts w:ascii="Calibri" w:hAnsi="Calibri"/>
                <w:sz w:val="16"/>
                <w:szCs w:val="16"/>
              </w:rPr>
              <w:t>capital</w:t>
            </w:r>
            <w:proofErr w:type="spellEnd"/>
            <w:r w:rsidRPr="00632BA1">
              <w:rPr>
                <w:rFonts w:ascii="Calibri" w:hAnsi="Calibri"/>
                <w:sz w:val="16"/>
                <w:szCs w:val="16"/>
              </w:rPr>
              <w:t xml:space="preserve">). Navazující projekt pro další programovací období je popsán v bodě 11.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r w:rsidR="00A61A11">
              <w:rPr>
                <w:rFonts w:ascii="Calibri" w:hAnsi="Calibri"/>
                <w:sz w:val="16"/>
                <w:szCs w:val="16"/>
              </w:rPr>
              <w:t xml:space="preserve"> - </w:t>
            </w:r>
            <w:r w:rsidR="004F57B2">
              <w:rPr>
                <w:rFonts w:ascii="Calibri" w:hAnsi="Calibri"/>
                <w:sz w:val="16"/>
                <w:szCs w:val="16"/>
              </w:rPr>
              <w:t>MPO vyhlásilo výzvu v rámci programu Marketing OP</w:t>
            </w:r>
            <w:r w:rsidR="00A61A11">
              <w:rPr>
                <w:rFonts w:ascii="Calibri" w:hAnsi="Calibri"/>
                <w:sz w:val="16"/>
                <w:szCs w:val="16"/>
              </w:rPr>
              <w:t xml:space="preserve"> </w:t>
            </w:r>
            <w:r w:rsidR="004F57B2">
              <w:rPr>
                <w:rFonts w:ascii="Calibri" w:hAnsi="Calibri"/>
                <w:sz w:val="16"/>
                <w:szCs w:val="16"/>
              </w:rPr>
              <w:t>PIK.</w:t>
            </w:r>
            <w:r w:rsidR="00266FC7">
              <w:rPr>
                <w:rFonts w:ascii="Calibri" w:hAnsi="Calibri"/>
                <w:sz w:val="16"/>
                <w:szCs w:val="16"/>
              </w:rPr>
              <w:t xml:space="preserve"> MPO již připravilo i program Rizikový kapitál v rámci PO 2 OPPIK.</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roofErr w:type="spellStart"/>
            <w:r w:rsidRPr="00632BA1">
              <w:rPr>
                <w:rFonts w:ascii="Calibri" w:hAnsi="Calibri"/>
                <w:sz w:val="16"/>
                <w:szCs w:val="16"/>
              </w:rPr>
              <w:t>CzechEkoSystem</w:t>
            </w:r>
            <w:proofErr w:type="spellEnd"/>
            <w:r w:rsidRPr="00632BA1">
              <w:rPr>
                <w:rFonts w:ascii="Calibri" w:hAnsi="Calibri"/>
                <w:sz w:val="16"/>
                <w:szCs w:val="16"/>
              </w:rPr>
              <w:t xml:space="preserve"> - v rámci O</w:t>
            </w:r>
            <w:r w:rsidR="007D6447">
              <w:rPr>
                <w:rFonts w:ascii="Calibri" w:hAnsi="Calibri"/>
                <w:sz w:val="16"/>
                <w:szCs w:val="16"/>
              </w:rPr>
              <w:t>peračního programu podnikání</w:t>
            </w:r>
            <w:r w:rsidR="00A61A11">
              <w:rPr>
                <w:rFonts w:ascii="Calibri" w:hAnsi="Calibri"/>
                <w:sz w:val="16"/>
                <w:szCs w:val="16"/>
              </w:rPr>
              <w:t xml:space="preserve"> </w:t>
            </w:r>
            <w:r w:rsidR="007D6447">
              <w:rPr>
                <w:rFonts w:ascii="Calibri" w:hAnsi="Calibri"/>
                <w:sz w:val="16"/>
                <w:szCs w:val="16"/>
              </w:rPr>
              <w:t>a inovace 2007-13 (O</w:t>
            </w:r>
            <w:r w:rsidRPr="00632BA1">
              <w:rPr>
                <w:rFonts w:ascii="Calibri" w:hAnsi="Calibri"/>
                <w:sz w:val="16"/>
                <w:szCs w:val="16"/>
              </w:rPr>
              <w:t>PPI</w:t>
            </w:r>
            <w:r w:rsidR="007D6447">
              <w:rPr>
                <w:rFonts w:ascii="Calibri" w:hAnsi="Calibri"/>
                <w:sz w:val="16"/>
                <w:szCs w:val="16"/>
              </w:rPr>
              <w:t>)</w:t>
            </w:r>
            <w:r w:rsidRPr="00632BA1">
              <w:rPr>
                <w:rFonts w:ascii="Calibri" w:hAnsi="Calibri"/>
                <w:sz w:val="16"/>
                <w:szCs w:val="16"/>
              </w:rPr>
              <w:t xml:space="preserve"> v realizaci do 30. 9. 2015. Připravuje se nový interní projekt pro OP</w:t>
            </w:r>
            <w:r w:rsidR="00A61A11">
              <w:rPr>
                <w:rFonts w:ascii="Calibri" w:hAnsi="Calibri"/>
                <w:sz w:val="16"/>
                <w:szCs w:val="16"/>
              </w:rPr>
              <w:t xml:space="preserve"> </w:t>
            </w:r>
            <w:r w:rsidRPr="00632BA1">
              <w:rPr>
                <w:rFonts w:ascii="Calibri" w:hAnsi="Calibri"/>
                <w:sz w:val="16"/>
                <w:szCs w:val="16"/>
              </w:rPr>
              <w:t xml:space="preserve">PIK </w:t>
            </w:r>
            <w:proofErr w:type="spellStart"/>
            <w:r w:rsidRPr="00632BA1">
              <w:rPr>
                <w:rFonts w:ascii="Calibri" w:hAnsi="Calibri"/>
                <w:sz w:val="16"/>
                <w:szCs w:val="16"/>
              </w:rPr>
              <w:t>Czech</w:t>
            </w:r>
            <w:proofErr w:type="spellEnd"/>
            <w:r w:rsidRPr="00632BA1">
              <w:rPr>
                <w:rFonts w:ascii="Calibri" w:hAnsi="Calibri"/>
                <w:sz w:val="16"/>
                <w:szCs w:val="16"/>
              </w:rPr>
              <w:t xml:space="preserve"> </w:t>
            </w:r>
            <w:proofErr w:type="spellStart"/>
            <w:r w:rsidRPr="00632BA1">
              <w:rPr>
                <w:rFonts w:ascii="Calibri" w:hAnsi="Calibri"/>
                <w:sz w:val="16"/>
                <w:szCs w:val="16"/>
              </w:rPr>
              <w:t>Starter</w:t>
            </w:r>
            <w:proofErr w:type="spellEnd"/>
            <w:r w:rsidRPr="00632BA1">
              <w:rPr>
                <w:rFonts w:ascii="Calibri" w:hAnsi="Calibri"/>
                <w:sz w:val="16"/>
                <w:szCs w:val="16"/>
              </w:rPr>
              <w:t xml:space="preserve"> v rámci Interního projektu CI "Podpora </w:t>
            </w:r>
            <w:proofErr w:type="spellStart"/>
            <w:r w:rsidRPr="00632BA1">
              <w:rPr>
                <w:rFonts w:ascii="Calibri" w:hAnsi="Calibri"/>
                <w:sz w:val="16"/>
                <w:szCs w:val="16"/>
              </w:rPr>
              <w:t>Startupů</w:t>
            </w:r>
            <w:proofErr w:type="spellEnd"/>
            <w:r w:rsidRPr="00632BA1">
              <w:rPr>
                <w:rFonts w:ascii="Calibri" w:hAnsi="Calibri"/>
                <w:sz w:val="16"/>
                <w:szCs w:val="16"/>
              </w:rPr>
              <w:t>"</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Navazující projekt je plánován na roky 2015-2019</w:t>
            </w:r>
          </w:p>
        </w:tc>
      </w:tr>
      <w:tr w:rsidR="00632BA1" w:rsidRPr="00632BA1" w:rsidTr="002941EE">
        <w:trPr>
          <w:trHeight w:val="557"/>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11.</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Návrh projektu na vytvoření ekosystému pro zahájení podnikání v souladu s </w:t>
            </w:r>
            <w:r w:rsidRPr="00632BA1">
              <w:rPr>
                <w:rFonts w:ascii="Calibri" w:hAnsi="Calibri"/>
                <w:color w:val="000000"/>
                <w:sz w:val="16"/>
                <w:szCs w:val="16"/>
              </w:rPr>
              <w:lastRenderedPageBreak/>
              <w:t>potřebami začínajících podnikatelů (vč. poradenství pro sociální podnikatele)</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12/2015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r w:rsidRPr="00632BA1">
              <w:rPr>
                <w:rFonts w:ascii="Calibri" w:hAnsi="Calibri"/>
                <w:color w:val="000000"/>
                <w:sz w:val="16"/>
                <w:szCs w:val="16"/>
              </w:rPr>
              <w:t>,</w:t>
            </w:r>
            <w:r w:rsidRPr="00632BA1">
              <w:rPr>
                <w:rFonts w:ascii="Calibri" w:hAnsi="Calibri"/>
                <w:color w:val="000000"/>
                <w:sz w:val="16"/>
                <w:szCs w:val="16"/>
              </w:rPr>
              <w:br/>
              <w:t>MPO 61000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61A11" w:rsidP="00693327">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r>
              <w:rPr>
                <w:rFonts w:ascii="Calibri" w:hAnsi="Calibri"/>
                <w:color w:val="000000"/>
                <w:sz w:val="16"/>
                <w:szCs w:val="16"/>
              </w:rPr>
              <w:t xml:space="preserve"> </w:t>
            </w:r>
            <w:r w:rsidR="00632BA1" w:rsidRPr="00632BA1">
              <w:rPr>
                <w:rFonts w:ascii="Calibri" w:hAnsi="Calibri"/>
                <w:color w:val="000000"/>
                <w:sz w:val="16"/>
                <w:szCs w:val="16"/>
              </w:rPr>
              <w:t>+</w:t>
            </w:r>
            <w:r>
              <w:rPr>
                <w:rFonts w:ascii="Calibri" w:hAnsi="Calibri"/>
                <w:color w:val="000000"/>
                <w:sz w:val="16"/>
                <w:szCs w:val="16"/>
              </w:rPr>
              <w:t xml:space="preserve"> </w:t>
            </w:r>
            <w:r w:rsidR="00632BA1" w:rsidRPr="00632BA1">
              <w:rPr>
                <w:rFonts w:ascii="Calibri" w:hAnsi="Calibri"/>
                <w:color w:val="000000"/>
                <w:sz w:val="16"/>
                <w:szCs w:val="16"/>
              </w:rPr>
              <w:t>OP</w:t>
            </w:r>
            <w:r>
              <w:rPr>
                <w:rFonts w:ascii="Calibri" w:hAnsi="Calibri"/>
                <w:color w:val="000000"/>
                <w:sz w:val="16"/>
                <w:szCs w:val="16"/>
              </w:rPr>
              <w:t xml:space="preserve"> </w:t>
            </w:r>
            <w:r w:rsidR="00632BA1" w:rsidRPr="00632BA1">
              <w:rPr>
                <w:rFonts w:ascii="Calibri" w:hAnsi="Calibri"/>
                <w:color w:val="000000"/>
                <w:sz w:val="16"/>
                <w:szCs w:val="16"/>
              </w:rPr>
              <w:t>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911F25">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Příprava interního projektu CI " Podpora </w:t>
            </w:r>
            <w:proofErr w:type="spellStart"/>
            <w:r w:rsidRPr="00632BA1">
              <w:rPr>
                <w:rFonts w:ascii="Calibri" w:hAnsi="Calibri"/>
                <w:sz w:val="16"/>
                <w:szCs w:val="16"/>
              </w:rPr>
              <w:t>Startupů</w:t>
            </w:r>
            <w:proofErr w:type="spellEnd"/>
            <w:r w:rsidRPr="00632BA1">
              <w:rPr>
                <w:rFonts w:ascii="Calibri" w:hAnsi="Calibri"/>
                <w:sz w:val="16"/>
                <w:szCs w:val="16"/>
              </w:rPr>
              <w:t xml:space="preserve">" pro předložení v rámci PO2 OP PIK </w:t>
            </w:r>
            <w:r w:rsidRPr="00632BA1">
              <w:rPr>
                <w:rFonts w:ascii="Calibri" w:hAnsi="Calibri"/>
                <w:sz w:val="16"/>
                <w:szCs w:val="16"/>
              </w:rPr>
              <w:lastRenderedPageBreak/>
              <w:t>programu Marketing - "Internacionalizace MSP"</w:t>
            </w:r>
            <w:r w:rsidRPr="00632BA1">
              <w:rPr>
                <w:rFonts w:ascii="Calibri" w:hAnsi="Calibri"/>
                <w:sz w:val="16"/>
                <w:szCs w:val="16"/>
              </w:rPr>
              <w:br/>
            </w:r>
            <w:r w:rsidRPr="00632BA1">
              <w:rPr>
                <w:rFonts w:ascii="Calibri" w:hAnsi="Calibri"/>
                <w:sz w:val="16"/>
                <w:szCs w:val="16"/>
              </w:rPr>
              <w:br/>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lastRenderedPageBreak/>
              <w:t xml:space="preserve">Probíhá příprava nového interního projektu skládající se ze 4 hlavních částí:                                                                        1. </w:t>
            </w:r>
            <w:proofErr w:type="spellStart"/>
            <w:r w:rsidRPr="00632BA1">
              <w:rPr>
                <w:rFonts w:ascii="Calibri" w:hAnsi="Calibri"/>
                <w:sz w:val="16"/>
                <w:szCs w:val="16"/>
              </w:rPr>
              <w:t>CzechStarter</w:t>
            </w:r>
            <w:proofErr w:type="spellEnd"/>
            <w:r w:rsidRPr="00632BA1">
              <w:rPr>
                <w:rFonts w:ascii="Calibri" w:hAnsi="Calibri"/>
                <w:sz w:val="16"/>
                <w:szCs w:val="16"/>
              </w:rPr>
              <w:t xml:space="preserve"> (dříve projekt </w:t>
            </w:r>
            <w:proofErr w:type="spellStart"/>
            <w:r w:rsidRPr="00632BA1">
              <w:rPr>
                <w:rFonts w:ascii="Calibri" w:hAnsi="Calibri"/>
                <w:sz w:val="16"/>
                <w:szCs w:val="16"/>
              </w:rPr>
              <w:t>CzechEkoSystem</w:t>
            </w:r>
            <w:proofErr w:type="spellEnd"/>
            <w:r w:rsidRPr="00632BA1">
              <w:rPr>
                <w:rFonts w:ascii="Calibri" w:hAnsi="Calibri"/>
                <w:sz w:val="16"/>
                <w:szCs w:val="16"/>
              </w:rPr>
              <w:t xml:space="preserve">) Cílem projektu je </w:t>
            </w:r>
            <w:r w:rsidRPr="00632BA1">
              <w:rPr>
                <w:rFonts w:ascii="Calibri" w:hAnsi="Calibri"/>
                <w:sz w:val="16"/>
                <w:szCs w:val="16"/>
              </w:rPr>
              <w:lastRenderedPageBreak/>
              <w:t xml:space="preserve">poskytnout začínajícím firmám </w:t>
            </w:r>
            <w:proofErr w:type="spellStart"/>
            <w:r w:rsidRPr="00632BA1">
              <w:rPr>
                <w:rFonts w:ascii="Calibri" w:hAnsi="Calibri"/>
                <w:sz w:val="16"/>
                <w:szCs w:val="16"/>
              </w:rPr>
              <w:t>mentoring</w:t>
            </w:r>
            <w:proofErr w:type="spellEnd"/>
            <w:r w:rsidRPr="00632BA1">
              <w:rPr>
                <w:rFonts w:ascii="Calibri" w:hAnsi="Calibri"/>
                <w:sz w:val="16"/>
                <w:szCs w:val="16"/>
              </w:rPr>
              <w:t xml:space="preserve"> a informace, které jsou nezbytné pro překonání problémů v počáteční fázi podnikání: </w:t>
            </w:r>
            <w:proofErr w:type="spellStart"/>
            <w:r w:rsidRPr="00632BA1">
              <w:rPr>
                <w:rFonts w:ascii="Calibri" w:hAnsi="Calibri"/>
                <w:sz w:val="16"/>
                <w:szCs w:val="16"/>
              </w:rPr>
              <w:t>mentoring</w:t>
            </w:r>
            <w:proofErr w:type="spellEnd"/>
            <w:r w:rsidRPr="00632BA1">
              <w:rPr>
                <w:rFonts w:ascii="Calibri" w:hAnsi="Calibri"/>
                <w:sz w:val="16"/>
                <w:szCs w:val="16"/>
              </w:rPr>
              <w:t xml:space="preserve">, poradenství, mezinárodní </w:t>
            </w:r>
            <w:proofErr w:type="spellStart"/>
            <w:r w:rsidRPr="00632BA1">
              <w:rPr>
                <w:rFonts w:ascii="Calibri" w:hAnsi="Calibri"/>
                <w:sz w:val="16"/>
                <w:szCs w:val="16"/>
              </w:rPr>
              <w:t>bootcamp</w:t>
            </w:r>
            <w:proofErr w:type="spellEnd"/>
            <w:r w:rsidRPr="00632BA1">
              <w:rPr>
                <w:rFonts w:ascii="Calibri" w:hAnsi="Calibri"/>
                <w:sz w:val="16"/>
                <w:szCs w:val="16"/>
              </w:rPr>
              <w:t xml:space="preserve">, zvyšující se atraktivita společnosti pro investiční kapitál,   </w:t>
            </w:r>
            <w:proofErr w:type="spellStart"/>
            <w:r w:rsidRPr="00632BA1">
              <w:rPr>
                <w:rFonts w:ascii="Calibri" w:hAnsi="Calibri"/>
                <w:sz w:val="16"/>
                <w:szCs w:val="16"/>
              </w:rPr>
              <w:t>Matchmaking</w:t>
            </w:r>
            <w:proofErr w:type="spellEnd"/>
            <w:r w:rsidRPr="00632BA1">
              <w:rPr>
                <w:rFonts w:ascii="Calibri" w:hAnsi="Calibri"/>
                <w:sz w:val="16"/>
                <w:szCs w:val="16"/>
              </w:rPr>
              <w:t xml:space="preserve">-typ finančního </w:t>
            </w:r>
            <w:r w:rsidR="009A1F81" w:rsidRPr="00632BA1">
              <w:rPr>
                <w:rFonts w:ascii="Calibri" w:hAnsi="Calibri"/>
                <w:sz w:val="16"/>
                <w:szCs w:val="16"/>
              </w:rPr>
              <w:t>fóra</w:t>
            </w:r>
            <w:r w:rsidRPr="00632BA1">
              <w:rPr>
                <w:rFonts w:ascii="Calibri" w:hAnsi="Calibri"/>
                <w:sz w:val="16"/>
                <w:szCs w:val="16"/>
              </w:rPr>
              <w:t xml:space="preserve"> k představení problematiky rizikového kapitálu Dvoutýdenní program v Silicon </w:t>
            </w:r>
            <w:proofErr w:type="spellStart"/>
            <w:r w:rsidRPr="00632BA1">
              <w:rPr>
                <w:rFonts w:ascii="Calibri" w:hAnsi="Calibri"/>
                <w:sz w:val="16"/>
                <w:szCs w:val="16"/>
              </w:rPr>
              <w:t>Valley</w:t>
            </w:r>
            <w:proofErr w:type="spellEnd"/>
            <w:r w:rsidRPr="00632BA1">
              <w:rPr>
                <w:rFonts w:ascii="Calibri" w:hAnsi="Calibri"/>
                <w:sz w:val="16"/>
                <w:szCs w:val="16"/>
              </w:rPr>
              <w:t xml:space="preserve"> pro internacionalizaci nejlepších společností z programu</w:t>
            </w:r>
            <w:r w:rsidRPr="00632BA1">
              <w:rPr>
                <w:rFonts w:ascii="Calibri" w:hAnsi="Calibri"/>
                <w:sz w:val="16"/>
                <w:szCs w:val="16"/>
              </w:rPr>
              <w:br/>
              <w:t xml:space="preserve">2. </w:t>
            </w:r>
            <w:proofErr w:type="spellStart"/>
            <w:r w:rsidRPr="00632BA1">
              <w:rPr>
                <w:rFonts w:ascii="Calibri" w:hAnsi="Calibri"/>
                <w:sz w:val="16"/>
                <w:szCs w:val="16"/>
              </w:rPr>
              <w:t>CzechAccelerator</w:t>
            </w:r>
            <w:proofErr w:type="spellEnd"/>
            <w:r w:rsidRPr="00632BA1">
              <w:rPr>
                <w:rFonts w:ascii="Calibri" w:hAnsi="Calibri"/>
                <w:sz w:val="16"/>
                <w:szCs w:val="16"/>
              </w:rPr>
              <w:t xml:space="preserve"> 2.0</w:t>
            </w:r>
            <w:r w:rsidRPr="00632BA1">
              <w:rPr>
                <w:rFonts w:ascii="Calibri" w:hAnsi="Calibri"/>
                <w:sz w:val="16"/>
                <w:szCs w:val="16"/>
              </w:rPr>
              <w:br/>
              <w:t>Cílem projektu je pomoci inovativním společnostem získat zkušenosti s podnikáním na vyspělých zahraničních trzích, a to zejména prostřednictvím rozvoje manažerských zkušeností a posílení marketingových dovedností.</w:t>
            </w:r>
            <w:r w:rsidRPr="00632BA1">
              <w:rPr>
                <w:rFonts w:ascii="Calibri" w:hAnsi="Calibri"/>
                <w:sz w:val="16"/>
                <w:szCs w:val="16"/>
              </w:rPr>
              <w:br/>
              <w:t xml:space="preserve">Hlavní body: mezinárodní inkubace, expanze na mezinárodní trh, snadný přístup k potenciálním partnerům, </w:t>
            </w:r>
            <w:proofErr w:type="spellStart"/>
            <w:r w:rsidRPr="00632BA1">
              <w:rPr>
                <w:rFonts w:ascii="Calibri" w:hAnsi="Calibri"/>
                <w:sz w:val="16"/>
                <w:szCs w:val="16"/>
              </w:rPr>
              <w:t>networking</w:t>
            </w:r>
            <w:proofErr w:type="spellEnd"/>
            <w:r w:rsidRPr="00632BA1">
              <w:rPr>
                <w:rFonts w:ascii="Calibri" w:hAnsi="Calibri"/>
                <w:sz w:val="16"/>
                <w:szCs w:val="16"/>
              </w:rPr>
              <w:t xml:space="preserve"> a </w:t>
            </w:r>
            <w:proofErr w:type="spellStart"/>
            <w:r w:rsidRPr="00632BA1">
              <w:rPr>
                <w:rFonts w:ascii="Calibri" w:hAnsi="Calibri"/>
                <w:sz w:val="16"/>
                <w:szCs w:val="16"/>
              </w:rPr>
              <w:t>mentoring</w:t>
            </w:r>
            <w:proofErr w:type="spellEnd"/>
            <w:r w:rsidRPr="00632BA1">
              <w:rPr>
                <w:rFonts w:ascii="Calibri" w:hAnsi="Calibri"/>
                <w:sz w:val="16"/>
                <w:szCs w:val="16"/>
              </w:rPr>
              <w:t xml:space="preserve"> (Destinace: Silicon </w:t>
            </w:r>
            <w:proofErr w:type="spellStart"/>
            <w:r w:rsidRPr="00632BA1">
              <w:rPr>
                <w:rFonts w:ascii="Calibri" w:hAnsi="Calibri"/>
                <w:sz w:val="16"/>
                <w:szCs w:val="16"/>
              </w:rPr>
              <w:t>Valley</w:t>
            </w:r>
            <w:proofErr w:type="spellEnd"/>
            <w:r w:rsidRPr="00632BA1">
              <w:rPr>
                <w:rFonts w:ascii="Calibri" w:hAnsi="Calibri"/>
                <w:sz w:val="16"/>
                <w:szCs w:val="16"/>
              </w:rPr>
              <w:t>, New York, Singapur, Londýn)</w:t>
            </w:r>
            <w:r w:rsidRPr="00632BA1">
              <w:rPr>
                <w:rFonts w:ascii="Calibri" w:hAnsi="Calibri"/>
                <w:sz w:val="16"/>
                <w:szCs w:val="16"/>
              </w:rPr>
              <w:br/>
              <w:t xml:space="preserve">3. </w:t>
            </w:r>
            <w:proofErr w:type="spellStart"/>
            <w:r w:rsidRPr="00632BA1">
              <w:rPr>
                <w:rFonts w:ascii="Calibri" w:hAnsi="Calibri"/>
                <w:sz w:val="16"/>
                <w:szCs w:val="16"/>
              </w:rPr>
              <w:t>TechMatch</w:t>
            </w:r>
            <w:proofErr w:type="spellEnd"/>
            <w:r w:rsidRPr="00632BA1">
              <w:rPr>
                <w:rFonts w:ascii="Calibri" w:hAnsi="Calibri"/>
                <w:sz w:val="16"/>
                <w:szCs w:val="16"/>
              </w:rPr>
              <w:br/>
              <w:t xml:space="preserve">Cílem projektu je získat zpětnou vazbu o produktu společnosti od zahraničních investorů. Událost pořádá agentura </w:t>
            </w:r>
            <w:proofErr w:type="spellStart"/>
            <w:r w:rsidRPr="00632BA1">
              <w:rPr>
                <w:rFonts w:ascii="Calibri" w:hAnsi="Calibri"/>
                <w:sz w:val="16"/>
                <w:szCs w:val="16"/>
              </w:rPr>
              <w:t>CzechInvest</w:t>
            </w:r>
            <w:proofErr w:type="spellEnd"/>
            <w:r w:rsidRPr="00632BA1">
              <w:rPr>
                <w:rFonts w:ascii="Calibri" w:hAnsi="Calibri"/>
                <w:sz w:val="16"/>
                <w:szCs w:val="16"/>
              </w:rPr>
              <w:t xml:space="preserve"> společně se zahraničním partnerem (podnikatelským inkubátorem) ve vybrané destinaci.</w:t>
            </w:r>
            <w:r w:rsidRPr="00632BA1">
              <w:rPr>
                <w:rFonts w:ascii="Calibri" w:hAnsi="Calibri"/>
                <w:sz w:val="16"/>
                <w:szCs w:val="16"/>
              </w:rPr>
              <w:br/>
              <w:t>4. Účast na mezinárodních start-</w:t>
            </w:r>
            <w:proofErr w:type="spellStart"/>
            <w:r w:rsidRPr="00632BA1">
              <w:rPr>
                <w:rFonts w:ascii="Calibri" w:hAnsi="Calibri"/>
                <w:sz w:val="16"/>
                <w:szCs w:val="16"/>
              </w:rPr>
              <w:t>upových</w:t>
            </w:r>
            <w:proofErr w:type="spellEnd"/>
            <w:r w:rsidRPr="00632BA1">
              <w:rPr>
                <w:rFonts w:ascii="Calibri" w:hAnsi="Calibri"/>
                <w:sz w:val="16"/>
                <w:szCs w:val="16"/>
              </w:rPr>
              <w:t xml:space="preserve"> akcích </w:t>
            </w:r>
            <w:r w:rsidRPr="00632BA1">
              <w:rPr>
                <w:rFonts w:ascii="Calibri" w:hAnsi="Calibri"/>
                <w:sz w:val="16"/>
                <w:szCs w:val="16"/>
              </w:rPr>
              <w:br/>
              <w:t xml:space="preserve">Cílem projektu je podpořit začínající firmy na konferencích a </w:t>
            </w:r>
            <w:proofErr w:type="spellStart"/>
            <w:r w:rsidRPr="00632BA1">
              <w:rPr>
                <w:rFonts w:ascii="Calibri" w:hAnsi="Calibri"/>
                <w:sz w:val="16"/>
                <w:szCs w:val="16"/>
              </w:rPr>
              <w:t>startupových</w:t>
            </w:r>
            <w:proofErr w:type="spellEnd"/>
            <w:r w:rsidRPr="00632BA1">
              <w:rPr>
                <w:rFonts w:ascii="Calibri" w:hAnsi="Calibri"/>
                <w:sz w:val="16"/>
                <w:szCs w:val="16"/>
              </w:rPr>
              <w:t xml:space="preserve"> festivalech, zvýšit jejich konkurenceschopnost a umožnit získání </w:t>
            </w:r>
            <w:r w:rsidR="005D104B" w:rsidRPr="00632BA1">
              <w:rPr>
                <w:rFonts w:ascii="Calibri" w:hAnsi="Calibri"/>
                <w:sz w:val="16"/>
                <w:szCs w:val="16"/>
              </w:rPr>
              <w:t>silného</w:t>
            </w:r>
            <w:r w:rsidRPr="00632BA1">
              <w:rPr>
                <w:rFonts w:ascii="Calibri" w:hAnsi="Calibri"/>
                <w:sz w:val="16"/>
                <w:szCs w:val="16"/>
              </w:rPr>
              <w:t xml:space="preserve"> zahraničního partnera či </w:t>
            </w:r>
            <w:r w:rsidR="005D104B" w:rsidRPr="00632BA1">
              <w:rPr>
                <w:rFonts w:ascii="Calibri" w:hAnsi="Calibri"/>
                <w:sz w:val="16"/>
                <w:szCs w:val="16"/>
              </w:rPr>
              <w:t>investice</w:t>
            </w:r>
            <w:r w:rsidRPr="00632BA1">
              <w:rPr>
                <w:rFonts w:ascii="Calibri" w:hAnsi="Calibri"/>
                <w:sz w:val="16"/>
                <w:szCs w:val="16"/>
              </w:rPr>
              <w:t>.</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8B0EDC"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lastRenderedPageBreak/>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vyhlásilo výzvu 1. 10. 2015 (Interní projekt odeslán k posouzení MPO dne 30.10.)</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Projekt je plánován na období 2015 - 2019</w:t>
            </w:r>
          </w:p>
        </w:tc>
      </w:tr>
      <w:tr w:rsidR="00632BA1" w:rsidRPr="00632BA1" w:rsidTr="006137DB">
        <w:trPr>
          <w:trHeight w:val="1575"/>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12.</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Uvedení ekosystému pro zahájení podnikání do praxe (postupně, podle harmonogramu)</w:t>
            </w:r>
          </w:p>
        </w:tc>
        <w:tc>
          <w:tcPr>
            <w:tcW w:w="115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PO2 OP PIK</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Interní projekt CI "Podpora </w:t>
            </w:r>
            <w:proofErr w:type="spellStart"/>
            <w:r w:rsidRPr="00632BA1">
              <w:rPr>
                <w:rFonts w:ascii="Calibri" w:hAnsi="Calibri"/>
                <w:sz w:val="16"/>
                <w:szCs w:val="16"/>
              </w:rPr>
              <w:t>Startupů</w:t>
            </w:r>
            <w:proofErr w:type="spellEnd"/>
            <w:r w:rsidRPr="00632BA1">
              <w:rPr>
                <w:rFonts w:ascii="Calibri" w:hAnsi="Calibri"/>
                <w:sz w:val="16"/>
                <w:szCs w:val="16"/>
              </w:rPr>
              <w:t>" - v rámci PO2 OP PIK programu Marketing - Internacionalizace MSP</w:t>
            </w:r>
          </w:p>
        </w:tc>
        <w:tc>
          <w:tcPr>
            <w:tcW w:w="2552"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předchozí bod</w:t>
            </w:r>
          </w:p>
        </w:tc>
        <w:tc>
          <w:tcPr>
            <w:tcW w:w="1984" w:type="dxa"/>
            <w:tcBorders>
              <w:top w:val="single" w:sz="4" w:space="0" w:color="auto"/>
              <w:left w:val="single" w:sz="4" w:space="0" w:color="auto"/>
              <w:bottom w:val="single" w:sz="4" w:space="0" w:color="auto"/>
              <w:right w:val="nil"/>
            </w:tcBorders>
            <w:shd w:val="clear" w:color="auto" w:fill="FABF8F" w:themeFill="accent6" w:themeFillTint="99"/>
            <w:hideMark/>
          </w:tcPr>
          <w:p w:rsidR="00632BA1" w:rsidRPr="00632BA1" w:rsidRDefault="00A61A11"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 xml:space="preserve">Ne - </w:t>
            </w:r>
            <w:r w:rsidR="00D2097F">
              <w:rPr>
                <w:rFonts w:ascii="Calibri" w:hAnsi="Calibri"/>
                <w:sz w:val="16"/>
                <w:szCs w:val="16"/>
              </w:rPr>
              <w:t>MPO nyní hodno</w:t>
            </w:r>
            <w:r>
              <w:rPr>
                <w:rFonts w:ascii="Calibri" w:hAnsi="Calibri"/>
                <w:sz w:val="16"/>
                <w:szCs w:val="16"/>
              </w:rPr>
              <w:t xml:space="preserve">tí projekt Agentury </w:t>
            </w:r>
            <w:proofErr w:type="spellStart"/>
            <w:r>
              <w:rPr>
                <w:rFonts w:ascii="Calibri" w:hAnsi="Calibri"/>
                <w:sz w:val="16"/>
                <w:szCs w:val="16"/>
              </w:rPr>
              <w:t>CzechInvest</w:t>
            </w:r>
            <w:proofErr w:type="spellEnd"/>
          </w:p>
        </w:tc>
        <w:tc>
          <w:tcPr>
            <w:tcW w:w="2410" w:type="dxa"/>
            <w:tcBorders>
              <w:top w:val="single" w:sz="4" w:space="0" w:color="auto"/>
              <w:left w:val="single" w:sz="4" w:space="0" w:color="auto"/>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předchozí bod</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viz předchozí bod</w:t>
            </w:r>
          </w:p>
        </w:tc>
      </w:tr>
      <w:tr w:rsidR="00632BA1" w:rsidRPr="00632BA1" w:rsidTr="002941EE">
        <w:trPr>
          <w:trHeight w:val="15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13.</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Vytvoření, zveřejnění a provozování komplexní databáze zařízení inovační infrastruktury</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12/2015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proofErr w:type="spellStart"/>
            <w:r>
              <w:rPr>
                <w:rFonts w:ascii="Calibri" w:hAnsi="Calibri"/>
                <w:color w:val="000000"/>
                <w:sz w:val="16"/>
                <w:szCs w:val="16"/>
              </w:rPr>
              <w:t>CzechInvest</w:t>
            </w:r>
            <w:proofErr w:type="spellEnd"/>
            <w:r>
              <w:rPr>
                <w:rFonts w:ascii="Calibri" w:hAnsi="Calibri"/>
                <w:color w:val="000000"/>
                <w:sz w:val="16"/>
                <w:szCs w:val="16"/>
              </w:rPr>
              <w:t>,</w:t>
            </w:r>
            <w:r>
              <w:rPr>
                <w:rFonts w:ascii="Calibri" w:hAnsi="Calibri"/>
                <w:color w:val="000000"/>
                <w:sz w:val="16"/>
                <w:szCs w:val="16"/>
              </w:rPr>
              <w:br/>
              <w:t>MPO 61</w:t>
            </w:r>
            <w:r w:rsidR="00632BA1" w:rsidRPr="00632BA1">
              <w:rPr>
                <w:rFonts w:ascii="Calibri" w:hAnsi="Calibri"/>
                <w:color w:val="000000"/>
                <w:sz w:val="16"/>
                <w:szCs w:val="16"/>
              </w:rPr>
              <w:t>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Brožura vědecko-technické parky v České republice</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Vytvořena databáze výzkumných aktivit českých subjektů a jejich provázanosti se zahraničními spolupracemi. Provozována interně.</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Není stanoven, vyžaduje neustálou aktualizaci</w:t>
            </w:r>
          </w:p>
        </w:tc>
      </w:tr>
      <w:tr w:rsidR="00632BA1" w:rsidRPr="00632BA1" w:rsidTr="001B7FE1">
        <w:trPr>
          <w:trHeight w:val="300"/>
        </w:trPr>
        <w:tc>
          <w:tcPr>
            <w:tcW w:w="14879" w:type="dxa"/>
            <w:gridSpan w:val="10"/>
            <w:tcBorders>
              <w:top w:val="single" w:sz="4" w:space="0" w:color="auto"/>
              <w:left w:val="single" w:sz="4" w:space="0" w:color="auto"/>
              <w:right w:val="single" w:sz="4" w:space="0" w:color="000000"/>
            </w:tcBorders>
            <w:shd w:val="clear" w:color="000000" w:fill="FFFF00"/>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Inovační prostředí a podpora podnikavosti</w:t>
            </w:r>
          </w:p>
        </w:tc>
      </w:tr>
      <w:tr w:rsidR="00632BA1" w:rsidRPr="00632BA1" w:rsidTr="001B7FE1">
        <w:trPr>
          <w:trHeight w:val="2025"/>
        </w:trPr>
        <w:tc>
          <w:tcPr>
            <w:tcW w:w="343" w:type="dxa"/>
            <w:tcBorders>
              <w:top w:val="nil"/>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14.</w:t>
            </w:r>
          </w:p>
        </w:tc>
        <w:tc>
          <w:tcPr>
            <w:tcW w:w="13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a vyhlášení výzev programů podpory směřujících ke zlepšení parametrů prvků inovační infrastruktury</w:t>
            </w:r>
          </w:p>
        </w:tc>
        <w:tc>
          <w:tcPr>
            <w:tcW w:w="115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Služby infrastruktury v rámci PO1 OP PIK</w:t>
            </w:r>
          </w:p>
        </w:tc>
        <w:tc>
          <w:tcPr>
            <w:tcW w:w="2552" w:type="dxa"/>
            <w:tcBorders>
              <w:top w:val="nil"/>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Hlavním cílem programu je prostřednictvím dotací zkvalitňování služeb podpůrné infrastruktury, která povede ke zvýšení intenzity společných výzkumných, vývojových a inovačních aktivit mezi podnikatelskými subjekty a mezi veřejným a podnikovým sektorem se zaměřeným zejména na realizaci nových technologií a konkurenceschopných výrobků a služeb. Tyto aktivity povedou ke zlepšení mezisektorové spolupráce a podmínek pro rozvoj inovačních firem a konkurenční výhody jako zásadního prvku ovlivňujícího efektivitu celého inovačního systému v ČR.</w:t>
            </w:r>
          </w:p>
        </w:tc>
        <w:tc>
          <w:tcPr>
            <w:tcW w:w="1984" w:type="dxa"/>
            <w:tcBorders>
              <w:top w:val="nil"/>
              <w:left w:val="single" w:sz="4" w:space="0" w:color="auto"/>
              <w:bottom w:val="single" w:sz="4" w:space="0" w:color="auto"/>
              <w:right w:val="single" w:sz="4" w:space="0" w:color="auto"/>
            </w:tcBorders>
            <w:shd w:val="clear" w:color="auto" w:fill="FABF8F" w:themeFill="accent6" w:themeFillTint="99"/>
            <w:hideMark/>
          </w:tcPr>
          <w:p w:rsidR="00632BA1" w:rsidRPr="00632BA1" w:rsidRDefault="0049197D" w:rsidP="008B0EDC">
            <w:pPr>
              <w:overflowPunct/>
              <w:autoSpaceDE/>
              <w:autoSpaceDN/>
              <w:adjustRightInd/>
              <w:spacing w:after="0" w:line="240" w:lineRule="auto"/>
              <w:textAlignment w:val="auto"/>
              <w:rPr>
                <w:rFonts w:ascii="Calibri" w:hAnsi="Calibri"/>
                <w:sz w:val="16"/>
                <w:szCs w:val="16"/>
              </w:rPr>
            </w:pPr>
            <w:r>
              <w:rPr>
                <w:rFonts w:ascii="Calibri" w:hAnsi="Calibri"/>
                <w:sz w:val="16"/>
                <w:szCs w:val="16"/>
              </w:rPr>
              <w:t>Ne</w:t>
            </w:r>
            <w:r w:rsidR="00632BA1" w:rsidRPr="00632BA1">
              <w:rPr>
                <w:rFonts w:ascii="Calibri" w:hAnsi="Calibri"/>
                <w:sz w:val="16"/>
                <w:szCs w:val="16"/>
              </w:rPr>
              <w:t xml:space="preserve"> </w:t>
            </w:r>
            <w:r>
              <w:rPr>
                <w:rFonts w:ascii="Calibri" w:hAnsi="Calibri"/>
                <w:sz w:val="16"/>
                <w:szCs w:val="16"/>
              </w:rPr>
              <w:t>–</w:t>
            </w:r>
            <w:r w:rsidR="00632BA1" w:rsidRPr="00632BA1">
              <w:rPr>
                <w:rFonts w:ascii="Calibri" w:hAnsi="Calibri"/>
                <w:sz w:val="16"/>
                <w:szCs w:val="16"/>
              </w:rPr>
              <w:t xml:space="preserve"> výzva</w:t>
            </w:r>
            <w:r>
              <w:rPr>
                <w:rFonts w:ascii="Calibri" w:hAnsi="Calibri"/>
                <w:sz w:val="16"/>
                <w:szCs w:val="16"/>
              </w:rPr>
              <w:t xml:space="preserve"> je připravena, ale</w:t>
            </w:r>
            <w:r w:rsidR="00632BA1" w:rsidRPr="00632BA1">
              <w:rPr>
                <w:rFonts w:ascii="Calibri" w:hAnsi="Calibri"/>
                <w:sz w:val="16"/>
                <w:szCs w:val="16"/>
              </w:rPr>
              <w:t xml:space="preserve"> bude vyhlášena </w:t>
            </w:r>
            <w:r w:rsidR="008B0EDC">
              <w:rPr>
                <w:rFonts w:ascii="Calibri" w:hAnsi="Calibri"/>
                <w:sz w:val="16"/>
                <w:szCs w:val="16"/>
              </w:rPr>
              <w:t>do konce</w:t>
            </w:r>
            <w:r w:rsidR="00632BA1" w:rsidRPr="00632BA1">
              <w:rPr>
                <w:rFonts w:ascii="Calibri" w:hAnsi="Calibri"/>
                <w:sz w:val="16"/>
                <w:szCs w:val="16"/>
              </w:rPr>
              <w:t xml:space="preserve"> </w:t>
            </w:r>
            <w:r w:rsidR="00F645E0">
              <w:rPr>
                <w:rFonts w:ascii="Calibri" w:hAnsi="Calibri"/>
                <w:sz w:val="16"/>
                <w:szCs w:val="16"/>
              </w:rPr>
              <w:t xml:space="preserve">roku </w:t>
            </w:r>
            <w:r w:rsidR="00632BA1" w:rsidRPr="00632BA1">
              <w:rPr>
                <w:rFonts w:ascii="Calibri" w:hAnsi="Calibri"/>
                <w:sz w:val="16"/>
                <w:szCs w:val="16"/>
              </w:rPr>
              <w:t>2015</w:t>
            </w:r>
          </w:p>
        </w:tc>
        <w:tc>
          <w:tcPr>
            <w:tcW w:w="2410" w:type="dxa"/>
            <w:tcBorders>
              <w:top w:val="nil"/>
              <w:left w:val="nil"/>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r>
      <w:tr w:rsidR="00632BA1" w:rsidRPr="00632BA1" w:rsidTr="001B7FE1">
        <w:trPr>
          <w:trHeight w:val="225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15.</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Příprava a vyhlášení výzev programů podpory směřujících k posílení spolupráce mezi podnikatelským a výzkumným sektorem </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Spolupráce v rámci PO1</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Tato výzva naplňuje cíl podpořit rozvoj inovačních sítí – klastrů jako nástroje pro zvýšení intenzity společných výzkumných, vývojových a inovačních aktivit mezi podnikatelskými subjekty a výzkumnou sférou. Posilování vzájemných vazeb na regionální, nadregionální i mezinárodní úrovni povede k rozvoji ekonomiky založené na znalostech a inovacích a naplňování konceptu inteligentní specializace.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794CF7">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Datum vyhlášení výzvy 29. 5. 2015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Datum zahájení příjmu žádostí o podporu: Předběžné žádosti: 2. 6. 2015, plné žádosti: 1. 9. 2015</w:t>
            </w:r>
            <w:r w:rsidRPr="00632BA1">
              <w:rPr>
                <w:rFonts w:ascii="Calibri" w:hAnsi="Calibri"/>
                <w:color w:val="000000"/>
                <w:sz w:val="16"/>
                <w:szCs w:val="16"/>
              </w:rPr>
              <w:br/>
            </w:r>
            <w:r w:rsidRPr="00632BA1">
              <w:rPr>
                <w:rFonts w:ascii="Calibri" w:hAnsi="Calibri"/>
                <w:color w:val="000000"/>
                <w:sz w:val="16"/>
                <w:szCs w:val="16"/>
              </w:rPr>
              <w:br/>
              <w:t>Datum ukončení příjmu žádostí o podporu: Předběžné žádosti:  31. 8. 2015, plné žádosti: 30. 11. 2015</w:t>
            </w:r>
          </w:p>
        </w:tc>
      </w:tr>
      <w:tr w:rsidR="00632BA1" w:rsidRPr="00632BA1" w:rsidTr="008E70F6">
        <w:trPr>
          <w:trHeight w:val="225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16.</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Příprava a vyhlášení výzev programů podpory směřujících k usnadnění ochrany duševního vlastnictví v podnicích. </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MPO 61000, </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Inovace v rámci PO1</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Cílem programu INOVACE – Inovační projekt je posílení inovační výkonnosti domácích firem a zvýšení jejich konkurenceschopnosti prostřednictvím zvýšení využívání unikátních know-how z větší či menší části vzniklých ve spolupráci s akademickým a výzkumným sektorem, rozšíření know-how firem pro vlastní inovace, zvýšení efektivnosti interních procesů v oblasti řízení inovací, tak aby došlo k nárůstu počtu firem především místního původu v pozici technologických lídrů, k tvorbě a zavádění nových konkurenceschopných produktů na globální trh a posílení schopností firem v oblasti </w:t>
            </w:r>
            <w:proofErr w:type="spellStart"/>
            <w:r w:rsidRPr="00632BA1">
              <w:rPr>
                <w:rFonts w:ascii="Calibri" w:hAnsi="Calibri"/>
                <w:sz w:val="16"/>
                <w:szCs w:val="16"/>
              </w:rPr>
              <w:t>high</w:t>
            </w:r>
            <w:proofErr w:type="spellEnd"/>
            <w:r w:rsidRPr="00632BA1">
              <w:rPr>
                <w:rFonts w:ascii="Calibri" w:hAnsi="Calibri"/>
                <w:sz w:val="16"/>
                <w:szCs w:val="16"/>
              </w:rPr>
              <w:t>-</w:t>
            </w:r>
            <w:proofErr w:type="spellStart"/>
            <w:r w:rsidRPr="00632BA1">
              <w:rPr>
                <w:rFonts w:ascii="Calibri" w:hAnsi="Calibri"/>
                <w:sz w:val="16"/>
                <w:szCs w:val="16"/>
              </w:rPr>
              <w:t>tech</w:t>
            </w:r>
            <w:proofErr w:type="spellEnd"/>
            <w:r w:rsidRPr="00632BA1">
              <w:rPr>
                <w:rFonts w:ascii="Calibri" w:hAnsi="Calibri"/>
                <w:sz w:val="16"/>
                <w:szCs w:val="16"/>
              </w:rPr>
              <w:t xml:space="preserve"> výroby. Podporovány budou inovace vyšších řádů, konkrétně pak inovace V. řádu a vyšší.</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794CF7">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Datum vyhlášení výzvy 29. 5. 2015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240" w:line="240" w:lineRule="auto"/>
              <w:textAlignment w:val="auto"/>
              <w:rPr>
                <w:rFonts w:ascii="Calibri" w:hAnsi="Calibri"/>
                <w:sz w:val="16"/>
                <w:szCs w:val="16"/>
              </w:rPr>
            </w:pPr>
            <w:r w:rsidRPr="00632BA1">
              <w:rPr>
                <w:rFonts w:ascii="Calibri" w:hAnsi="Calibri"/>
                <w:sz w:val="16"/>
                <w:szCs w:val="16"/>
              </w:rPr>
              <w:t>Datum zahájení příjmu žádostí o podporu: Předběžné žádosti: 2. 6. 2015, plné žádosti: 1. 12. 2015</w:t>
            </w:r>
            <w:r w:rsidRPr="00632BA1">
              <w:rPr>
                <w:rFonts w:ascii="Calibri" w:hAnsi="Calibri"/>
                <w:sz w:val="16"/>
                <w:szCs w:val="16"/>
              </w:rPr>
              <w:br/>
            </w:r>
            <w:r w:rsidRPr="00632BA1">
              <w:rPr>
                <w:rFonts w:ascii="Calibri" w:hAnsi="Calibri"/>
                <w:sz w:val="16"/>
                <w:szCs w:val="16"/>
              </w:rPr>
              <w:br/>
              <w:t>Datum ukončení příjmu žádostí o podporu: Předběžné žádosti:  30. 11. 2015, plné žádosti: 30.</w:t>
            </w:r>
            <w:r w:rsidR="009A1F81">
              <w:rPr>
                <w:rFonts w:ascii="Calibri" w:hAnsi="Calibri"/>
                <w:sz w:val="16"/>
                <w:szCs w:val="16"/>
              </w:rPr>
              <w:t xml:space="preserve"> 4. </w:t>
            </w:r>
            <w:r w:rsidRPr="00632BA1">
              <w:rPr>
                <w:rFonts w:ascii="Calibri" w:hAnsi="Calibri"/>
                <w:sz w:val="16"/>
                <w:szCs w:val="16"/>
              </w:rPr>
              <w:t>2016</w:t>
            </w:r>
          </w:p>
        </w:tc>
      </w:tr>
      <w:tr w:rsidR="00632BA1" w:rsidRPr="00632BA1" w:rsidTr="008E70F6">
        <w:trPr>
          <w:trHeight w:val="3825"/>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lastRenderedPageBreak/>
              <w:t>17.</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Příprava a vyhlášení výzev programů podpory směřujících k </w:t>
            </w:r>
            <w:proofErr w:type="spellStart"/>
            <w:r w:rsidRPr="00632BA1">
              <w:rPr>
                <w:rFonts w:ascii="Calibri" w:hAnsi="Calibri"/>
                <w:sz w:val="16"/>
                <w:szCs w:val="16"/>
              </w:rPr>
              <w:t>předkomerčnímu</w:t>
            </w:r>
            <w:proofErr w:type="spellEnd"/>
            <w:r w:rsidRPr="00632BA1">
              <w:rPr>
                <w:rFonts w:ascii="Calibri" w:hAnsi="Calibri"/>
                <w:sz w:val="16"/>
                <w:szCs w:val="16"/>
              </w:rPr>
              <w:t xml:space="preserve"> zadávání veřejných zakázek</w:t>
            </w:r>
          </w:p>
        </w:tc>
        <w:tc>
          <w:tcPr>
            <w:tcW w:w="115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61000</w:t>
            </w:r>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PO1 OP PIK</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F645E0">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Program - </w:t>
            </w:r>
            <w:proofErr w:type="spellStart"/>
            <w:r w:rsidRPr="00632BA1">
              <w:rPr>
                <w:rFonts w:ascii="Calibri" w:hAnsi="Calibri"/>
                <w:sz w:val="16"/>
                <w:szCs w:val="16"/>
              </w:rPr>
              <w:t>Pre</w:t>
            </w:r>
            <w:proofErr w:type="spellEnd"/>
            <w:r w:rsidRPr="00632BA1">
              <w:rPr>
                <w:rFonts w:ascii="Calibri" w:hAnsi="Calibri"/>
                <w:sz w:val="16"/>
                <w:szCs w:val="16"/>
              </w:rPr>
              <w:t>-</w:t>
            </w:r>
            <w:proofErr w:type="spellStart"/>
            <w:r w:rsidRPr="00632BA1">
              <w:rPr>
                <w:rFonts w:ascii="Calibri" w:hAnsi="Calibri"/>
                <w:sz w:val="16"/>
                <w:szCs w:val="16"/>
              </w:rPr>
              <w:t>commercial</w:t>
            </w:r>
            <w:proofErr w:type="spellEnd"/>
            <w:r w:rsidRPr="00632BA1">
              <w:rPr>
                <w:rFonts w:ascii="Calibri" w:hAnsi="Calibri"/>
                <w:sz w:val="16"/>
                <w:szCs w:val="16"/>
              </w:rPr>
              <w:t xml:space="preserve"> </w:t>
            </w:r>
            <w:proofErr w:type="spellStart"/>
            <w:r w:rsidRPr="00632BA1">
              <w:rPr>
                <w:rFonts w:ascii="Calibri" w:hAnsi="Calibri"/>
                <w:sz w:val="16"/>
                <w:szCs w:val="16"/>
              </w:rPr>
              <w:t>procur</w:t>
            </w:r>
            <w:r w:rsidR="00F645E0">
              <w:rPr>
                <w:rFonts w:ascii="Calibri" w:hAnsi="Calibri"/>
                <w:sz w:val="16"/>
                <w:szCs w:val="16"/>
              </w:rPr>
              <w:t>e</w:t>
            </w:r>
            <w:r w:rsidRPr="00632BA1">
              <w:rPr>
                <w:rFonts w:ascii="Calibri" w:hAnsi="Calibri"/>
                <w:sz w:val="16"/>
                <w:szCs w:val="16"/>
              </w:rPr>
              <w:t>ment</w:t>
            </w:r>
            <w:proofErr w:type="spellEnd"/>
            <w:r w:rsidRPr="00632BA1">
              <w:rPr>
                <w:rFonts w:ascii="Calibri" w:hAnsi="Calibri"/>
                <w:sz w:val="16"/>
                <w:szCs w:val="16"/>
              </w:rPr>
              <w:t xml:space="preserve"> </w:t>
            </w:r>
          </w:p>
        </w:tc>
        <w:tc>
          <w:tcPr>
            <w:tcW w:w="2552" w:type="dxa"/>
            <w:tcBorders>
              <w:top w:val="single" w:sz="4" w:space="0" w:color="auto"/>
              <w:left w:val="nil"/>
              <w:bottom w:val="single" w:sz="4" w:space="0" w:color="auto"/>
              <w:right w:val="nil"/>
            </w:tcBorders>
            <w:shd w:val="clear" w:color="auto" w:fill="FABF8F" w:themeFill="accent6" w:themeFillTint="99"/>
            <w:hideMark/>
          </w:tcPr>
          <w:p w:rsidR="00F645E0" w:rsidRDefault="00632BA1" w:rsidP="00F645E0">
            <w:pPr>
              <w:overflowPunct/>
              <w:autoSpaceDE/>
              <w:autoSpaceDN/>
              <w:adjustRightInd/>
              <w:spacing w:after="0" w:line="240" w:lineRule="auto"/>
              <w:textAlignment w:val="auto"/>
              <w:rPr>
                <w:rFonts w:ascii="Calibri" w:hAnsi="Calibri"/>
                <w:color w:val="262626"/>
                <w:sz w:val="16"/>
                <w:szCs w:val="16"/>
              </w:rPr>
            </w:pPr>
            <w:proofErr w:type="spellStart"/>
            <w:r w:rsidRPr="00632BA1">
              <w:rPr>
                <w:rFonts w:ascii="Calibri" w:hAnsi="Calibri"/>
                <w:color w:val="262626"/>
                <w:sz w:val="16"/>
                <w:szCs w:val="16"/>
              </w:rPr>
              <w:t>Předobchodní</w:t>
            </w:r>
            <w:proofErr w:type="spellEnd"/>
            <w:r w:rsidRPr="00632BA1">
              <w:rPr>
                <w:rFonts w:ascii="Calibri" w:hAnsi="Calibri"/>
                <w:color w:val="262626"/>
                <w:sz w:val="16"/>
                <w:szCs w:val="16"/>
              </w:rPr>
              <w:t xml:space="preserve"> zadávání veřejných zakázek bude podporováno rovněž samostatným programem „PCP“, jehož alokace cca 65 mil. EUR. </w:t>
            </w:r>
          </w:p>
          <w:p w:rsidR="00632BA1" w:rsidRPr="00632BA1" w:rsidRDefault="00632BA1" w:rsidP="00F645E0">
            <w:pPr>
              <w:overflowPunct/>
              <w:autoSpaceDE/>
              <w:autoSpaceDN/>
              <w:adjustRightInd/>
              <w:spacing w:after="0" w:line="240" w:lineRule="auto"/>
              <w:textAlignment w:val="auto"/>
              <w:rPr>
                <w:rFonts w:ascii="Calibri" w:hAnsi="Calibri"/>
                <w:color w:val="262626"/>
                <w:sz w:val="16"/>
                <w:szCs w:val="16"/>
              </w:rPr>
            </w:pPr>
            <w:r w:rsidRPr="00632BA1">
              <w:rPr>
                <w:rFonts w:ascii="Calibri" w:hAnsi="Calibri"/>
                <w:color w:val="262626"/>
                <w:sz w:val="16"/>
                <w:szCs w:val="16"/>
              </w:rPr>
              <w:t xml:space="preserve">TA ČR zahájila pilotní projekt v rámci programu BETA (programu zakázek ve </w:t>
            </w:r>
            <w:proofErr w:type="spellStart"/>
            <w:r w:rsidRPr="00632BA1">
              <w:rPr>
                <w:rFonts w:ascii="Calibri" w:hAnsi="Calibri"/>
                <w:color w:val="262626"/>
                <w:sz w:val="16"/>
                <w:szCs w:val="16"/>
              </w:rPr>
              <w:t>VaV</w:t>
            </w:r>
            <w:proofErr w:type="spellEnd"/>
            <w:r w:rsidRPr="00632BA1">
              <w:rPr>
                <w:rFonts w:ascii="Calibri" w:hAnsi="Calibri"/>
                <w:color w:val="262626"/>
                <w:sz w:val="16"/>
                <w:szCs w:val="16"/>
              </w:rPr>
              <w:t xml:space="preserve"> pro potřeby státní správy), veřejná zakázka je již v relativně pokročilé fázi řešení. Způsob řešení zakázky je v oblasti výzkumu a vývoje v ČR zatím ojedinělý, v některých jiných zemích EU však již prokázal možné přínosy.</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w:t>
            </w:r>
          </w:p>
        </w:tc>
        <w:tc>
          <w:tcPr>
            <w:tcW w:w="2410"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 souladu s harmonogramem OP PIK bude příprava programu řešena v roce 2016</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FF0000"/>
                <w:sz w:val="16"/>
                <w:szCs w:val="16"/>
              </w:rPr>
            </w:pPr>
            <w:r w:rsidRPr="00632BA1">
              <w:rPr>
                <w:rFonts w:ascii="Calibri" w:hAnsi="Calibri"/>
                <w:color w:val="FF0000"/>
                <w:sz w:val="16"/>
                <w:szCs w:val="16"/>
              </w:rPr>
              <w:t> </w:t>
            </w:r>
          </w:p>
        </w:tc>
      </w:tr>
      <w:tr w:rsidR="00632BA1" w:rsidRPr="00632BA1" w:rsidTr="00BC5902">
        <w:trPr>
          <w:trHeight w:val="2834"/>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18.</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Vytvoření (celostátního) systému pro využívání inovačních voucherů jako nástroje pro nákup podpůrných služeb a pro efektivní spolupráci podnikatelské a výzkumné sféry</w:t>
            </w:r>
          </w:p>
        </w:tc>
        <w:tc>
          <w:tcPr>
            <w:tcW w:w="115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Inovační vouchery v PO1</w:t>
            </w:r>
          </w:p>
        </w:tc>
        <w:tc>
          <w:tcPr>
            <w:tcW w:w="2552"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Cílem programu je rozvoj komunikace a sdílení poznatků a know-how mezi podnikovou a výzkumnou sférou, které mohou podnikatelské subjekty využít pro zahájení či zintenzivnění vlastních inovačních aktivit. Obecným cílem programu je nárůst interakcí mezi podniky a organizacemi pro výzkum a šíření znalostí s přímým dopadem na posílení konkurenceschopnosti malých a středních podniků.</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1B7FE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Ne </w:t>
            </w:r>
          </w:p>
        </w:tc>
        <w:tc>
          <w:tcPr>
            <w:tcW w:w="2410" w:type="dxa"/>
            <w:tcBorders>
              <w:top w:val="single" w:sz="4" w:space="0" w:color="auto"/>
              <w:left w:val="nil"/>
              <w:bottom w:val="single" w:sz="4" w:space="0" w:color="auto"/>
              <w:right w:val="single" w:sz="4" w:space="0" w:color="auto"/>
            </w:tcBorders>
            <w:shd w:val="clear" w:color="auto" w:fill="FABF8F" w:themeFill="accent6" w:themeFillTint="99"/>
            <w:noWrap/>
          </w:tcPr>
          <w:p w:rsidR="00632BA1" w:rsidRPr="00632BA1" w:rsidRDefault="001B7FE1" w:rsidP="001B7FE1">
            <w:pPr>
              <w:overflowPunct/>
              <w:autoSpaceDE/>
              <w:autoSpaceDN/>
              <w:adjustRightInd/>
              <w:spacing w:after="0" w:line="240" w:lineRule="auto"/>
              <w:textAlignment w:val="auto"/>
              <w:rPr>
                <w:rFonts w:ascii="Calibri" w:hAnsi="Calibri"/>
                <w:sz w:val="16"/>
                <w:szCs w:val="16"/>
              </w:rPr>
            </w:pPr>
            <w:r>
              <w:rPr>
                <w:rFonts w:ascii="Calibri" w:hAnsi="Calibri"/>
                <w:sz w:val="16"/>
                <w:szCs w:val="16"/>
              </w:rPr>
              <w:t>V</w:t>
            </w:r>
            <w:r w:rsidRPr="00632BA1">
              <w:rPr>
                <w:rFonts w:ascii="Calibri" w:hAnsi="Calibri"/>
                <w:sz w:val="16"/>
                <w:szCs w:val="16"/>
              </w:rPr>
              <w:t xml:space="preserve">ýzva </w:t>
            </w:r>
            <w:r>
              <w:rPr>
                <w:rFonts w:ascii="Calibri" w:hAnsi="Calibri"/>
                <w:sz w:val="16"/>
                <w:szCs w:val="16"/>
              </w:rPr>
              <w:t>ještě nebyla</w:t>
            </w:r>
            <w:r w:rsidRPr="00632BA1">
              <w:rPr>
                <w:rFonts w:ascii="Calibri" w:hAnsi="Calibri"/>
                <w:sz w:val="16"/>
                <w:szCs w:val="16"/>
              </w:rPr>
              <w:t xml:space="preserve"> vyhlášena</w:t>
            </w:r>
            <w:r>
              <w:rPr>
                <w:rFonts w:ascii="Calibri" w:hAnsi="Calibri"/>
                <w:sz w:val="16"/>
                <w:szCs w:val="16"/>
              </w:rPr>
              <w:t>.</w:t>
            </w:r>
          </w:p>
        </w:tc>
        <w:tc>
          <w:tcPr>
            <w:tcW w:w="1701" w:type="dxa"/>
            <w:tcBorders>
              <w:top w:val="single" w:sz="4" w:space="0" w:color="auto"/>
              <w:left w:val="nil"/>
              <w:bottom w:val="single" w:sz="4" w:space="0" w:color="auto"/>
              <w:right w:val="single" w:sz="4" w:space="0" w:color="auto"/>
            </w:tcBorders>
            <w:shd w:val="clear" w:color="auto" w:fill="FABF8F" w:themeFill="accent6" w:themeFillTint="99"/>
            <w:noWrap/>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
        </w:tc>
      </w:tr>
      <w:tr w:rsidR="00632BA1" w:rsidRPr="00632BA1" w:rsidTr="00BC5902">
        <w:trPr>
          <w:trHeight w:val="202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19.</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Podpora zapojení českých MSP do komunitárního programu HORIZONT 2020 </w:t>
            </w:r>
            <w:r w:rsidR="005E0341">
              <w:rPr>
                <w:rFonts w:ascii="Calibri" w:hAnsi="Calibri"/>
                <w:color w:val="000000"/>
                <w:sz w:val="16"/>
                <w:szCs w:val="16"/>
              </w:rPr>
              <w:t>(H2020)</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12/2015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MPO 61000, </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61A1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K</w:t>
            </w:r>
            <w:r w:rsidR="00632BA1" w:rsidRPr="00632BA1">
              <w:rPr>
                <w:rFonts w:ascii="Calibri" w:hAnsi="Calibri"/>
                <w:color w:val="000000"/>
                <w:sz w:val="16"/>
                <w:szCs w:val="16"/>
              </w:rPr>
              <w:t>omunitární program H2020, vnitřní zdroje zapojených institucí</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Síť </w:t>
            </w:r>
            <w:proofErr w:type="spellStart"/>
            <w:r w:rsidRPr="00632BA1">
              <w:rPr>
                <w:rFonts w:ascii="Calibri" w:hAnsi="Calibri"/>
                <w:sz w:val="16"/>
                <w:szCs w:val="16"/>
              </w:rPr>
              <w:t>E</w:t>
            </w:r>
            <w:r w:rsidR="002B7B52">
              <w:rPr>
                <w:rFonts w:ascii="Calibri" w:hAnsi="Calibri"/>
                <w:sz w:val="16"/>
                <w:szCs w:val="16"/>
              </w:rPr>
              <w:t>nterprise</w:t>
            </w:r>
            <w:proofErr w:type="spellEnd"/>
            <w:r w:rsidR="002B7B52">
              <w:rPr>
                <w:rFonts w:ascii="Calibri" w:hAnsi="Calibri"/>
                <w:sz w:val="16"/>
                <w:szCs w:val="16"/>
              </w:rPr>
              <w:t xml:space="preserve"> </w:t>
            </w:r>
            <w:proofErr w:type="spellStart"/>
            <w:r w:rsidR="002B7B52">
              <w:rPr>
                <w:rFonts w:ascii="Calibri" w:hAnsi="Calibri"/>
                <w:sz w:val="16"/>
                <w:szCs w:val="16"/>
              </w:rPr>
              <w:t>Europe</w:t>
            </w:r>
            <w:proofErr w:type="spellEnd"/>
            <w:r w:rsidR="002B7B52">
              <w:rPr>
                <w:rFonts w:ascii="Calibri" w:hAnsi="Calibri"/>
                <w:sz w:val="16"/>
                <w:szCs w:val="16"/>
              </w:rPr>
              <w:t xml:space="preserve"> Network -E</w:t>
            </w:r>
            <w:r w:rsidRPr="00632BA1">
              <w:rPr>
                <w:rFonts w:ascii="Calibri" w:hAnsi="Calibri"/>
                <w:sz w:val="16"/>
                <w:szCs w:val="16"/>
              </w:rPr>
              <w:t>EN (45% financováno MPO) projekt na služby, které poskytuje EEN v rámci SME instrumentu (</w:t>
            </w:r>
            <w:proofErr w:type="spellStart"/>
            <w:r w:rsidRPr="00632BA1">
              <w:rPr>
                <w:rFonts w:ascii="Calibri" w:hAnsi="Calibri"/>
                <w:sz w:val="16"/>
                <w:szCs w:val="16"/>
              </w:rPr>
              <w:t>Key</w:t>
            </w:r>
            <w:proofErr w:type="spellEnd"/>
            <w:r w:rsidRPr="00632BA1">
              <w:rPr>
                <w:rFonts w:ascii="Calibri" w:hAnsi="Calibri"/>
                <w:sz w:val="16"/>
                <w:szCs w:val="16"/>
              </w:rPr>
              <w:t xml:space="preserve"> </w:t>
            </w:r>
            <w:proofErr w:type="spellStart"/>
            <w:r w:rsidRPr="00632BA1">
              <w:rPr>
                <w:rFonts w:ascii="Calibri" w:hAnsi="Calibri"/>
                <w:sz w:val="16"/>
                <w:szCs w:val="16"/>
              </w:rPr>
              <w:t>Account</w:t>
            </w:r>
            <w:proofErr w:type="spellEnd"/>
            <w:r w:rsidRPr="00632BA1">
              <w:rPr>
                <w:rFonts w:ascii="Calibri" w:hAnsi="Calibri"/>
                <w:sz w:val="16"/>
                <w:szCs w:val="16"/>
              </w:rPr>
              <w:t xml:space="preserve"> Management) a mimo něj (</w:t>
            </w:r>
            <w:proofErr w:type="spellStart"/>
            <w:r w:rsidRPr="00632BA1">
              <w:rPr>
                <w:rFonts w:ascii="Calibri" w:hAnsi="Calibri"/>
                <w:sz w:val="16"/>
                <w:szCs w:val="16"/>
              </w:rPr>
              <w:t>Enhancing</w:t>
            </w:r>
            <w:proofErr w:type="spellEnd"/>
            <w:r w:rsidRPr="00632BA1">
              <w:rPr>
                <w:rFonts w:ascii="Calibri" w:hAnsi="Calibri"/>
                <w:sz w:val="16"/>
                <w:szCs w:val="16"/>
              </w:rPr>
              <w:t xml:space="preserve"> </w:t>
            </w:r>
            <w:proofErr w:type="spellStart"/>
            <w:r w:rsidRPr="00632BA1">
              <w:rPr>
                <w:rFonts w:ascii="Calibri" w:hAnsi="Calibri"/>
                <w:sz w:val="16"/>
                <w:szCs w:val="16"/>
              </w:rPr>
              <w:lastRenderedPageBreak/>
              <w:t>Innovation</w:t>
            </w:r>
            <w:proofErr w:type="spellEnd"/>
            <w:r w:rsidRPr="00632BA1">
              <w:rPr>
                <w:rFonts w:ascii="Calibri" w:hAnsi="Calibri"/>
                <w:sz w:val="16"/>
                <w:szCs w:val="16"/>
              </w:rPr>
              <w:t xml:space="preserve"> Management </w:t>
            </w:r>
            <w:proofErr w:type="spellStart"/>
            <w:r w:rsidRPr="00632BA1">
              <w:rPr>
                <w:rFonts w:ascii="Calibri" w:hAnsi="Calibri"/>
                <w:sz w:val="16"/>
                <w:szCs w:val="16"/>
              </w:rPr>
              <w:t>Capacities</w:t>
            </w:r>
            <w:proofErr w:type="spellEnd"/>
            <w:r w:rsidRPr="00632BA1">
              <w:rPr>
                <w:rFonts w:ascii="Calibri" w:hAnsi="Calibri"/>
                <w:sz w:val="16"/>
                <w:szCs w:val="16"/>
              </w:rPr>
              <w:t>) jsou ze 100 % financovány z rozpočtu H2020</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lastRenderedPageBreak/>
              <w:t xml:space="preserve">V rámci implementace programu H2020 síť EEN poskytuje služby </w:t>
            </w:r>
            <w:proofErr w:type="spellStart"/>
            <w:r w:rsidRPr="00632BA1">
              <w:rPr>
                <w:rFonts w:ascii="Calibri" w:hAnsi="Calibri"/>
                <w:sz w:val="16"/>
                <w:szCs w:val="16"/>
              </w:rPr>
              <w:t>Key</w:t>
            </w:r>
            <w:proofErr w:type="spellEnd"/>
            <w:r w:rsidRPr="00632BA1">
              <w:rPr>
                <w:rFonts w:ascii="Calibri" w:hAnsi="Calibri"/>
                <w:sz w:val="16"/>
                <w:szCs w:val="16"/>
              </w:rPr>
              <w:t xml:space="preserve"> </w:t>
            </w:r>
            <w:proofErr w:type="spellStart"/>
            <w:r w:rsidRPr="00632BA1">
              <w:rPr>
                <w:rFonts w:ascii="Calibri" w:hAnsi="Calibri"/>
                <w:sz w:val="16"/>
                <w:szCs w:val="16"/>
              </w:rPr>
              <w:t>Account</w:t>
            </w:r>
            <w:proofErr w:type="spellEnd"/>
            <w:r w:rsidRPr="00632BA1">
              <w:rPr>
                <w:rFonts w:ascii="Calibri" w:hAnsi="Calibri"/>
                <w:sz w:val="16"/>
                <w:szCs w:val="16"/>
              </w:rPr>
              <w:t xml:space="preserve"> Managementu inovativním MSP, které byly úspěšné při žádosti o grant v SME instrumentu. Služby zahrnují vyhledání a spolupráci s koučem, který pomáhá firmě s realizací projektu. EEN dále poskytuje služby specifickému počtu českých MSP (mimo SME instrument), jejíchž cílem je zlepšit inovační management firmy a zvýšit </w:t>
            </w:r>
            <w:r w:rsidRPr="00632BA1">
              <w:rPr>
                <w:rFonts w:ascii="Calibri" w:hAnsi="Calibri"/>
                <w:sz w:val="16"/>
                <w:szCs w:val="16"/>
              </w:rPr>
              <w:lastRenderedPageBreak/>
              <w:t xml:space="preserve">její inovační potenciál, tyto firmy jsou vybírány členy konsorcia EEN. Další služby sítě EEN zahrnují také poradenství ohledně finančních zdrojů pro další rozvoj (granty, finanční nástroje).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lastRenderedPageBreak/>
              <w:t>Ano</w:t>
            </w:r>
            <w:r w:rsidR="00A61A11">
              <w:rPr>
                <w:rFonts w:ascii="Calibri" w:hAnsi="Calibri"/>
                <w:sz w:val="16"/>
                <w:szCs w:val="16"/>
              </w:rPr>
              <w:t xml:space="preserve"> - </w:t>
            </w:r>
            <w:r w:rsidR="00E76995">
              <w:rPr>
                <w:rFonts w:ascii="Calibri" w:hAnsi="Calibri"/>
                <w:sz w:val="16"/>
                <w:szCs w:val="16"/>
              </w:rPr>
              <w:t xml:space="preserve">MPO bude finančně podporovat síť EEN i pro roky </w:t>
            </w:r>
            <w:r w:rsidR="00A61A11">
              <w:rPr>
                <w:rFonts w:ascii="Calibri" w:hAnsi="Calibri"/>
                <w:sz w:val="16"/>
                <w:szCs w:val="16"/>
              </w:rPr>
              <w:t>2015 a 2016</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BC7595">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České konsorcium EEN poskytuje tyto služby od 1. 1. 2015, grantová dohoda k tomuto projektu (Business </w:t>
            </w:r>
            <w:proofErr w:type="spellStart"/>
            <w:r w:rsidRPr="00632BA1">
              <w:rPr>
                <w:rFonts w:ascii="Calibri" w:hAnsi="Calibri"/>
                <w:sz w:val="16"/>
                <w:szCs w:val="16"/>
              </w:rPr>
              <w:t>Innovations</w:t>
            </w:r>
            <w:proofErr w:type="spellEnd"/>
            <w:r w:rsidRPr="00632BA1">
              <w:rPr>
                <w:rFonts w:ascii="Calibri" w:hAnsi="Calibri"/>
                <w:sz w:val="16"/>
                <w:szCs w:val="16"/>
              </w:rPr>
              <w:t xml:space="preserve"> Support Network </w:t>
            </w:r>
            <w:proofErr w:type="spellStart"/>
            <w:r w:rsidRPr="00632BA1">
              <w:rPr>
                <w:rFonts w:ascii="Calibri" w:hAnsi="Calibri"/>
                <w:sz w:val="16"/>
                <w:szCs w:val="16"/>
              </w:rPr>
              <w:t>for</w:t>
            </w:r>
            <w:proofErr w:type="spellEnd"/>
            <w:r w:rsidRPr="00632BA1">
              <w:rPr>
                <w:rFonts w:ascii="Calibri" w:hAnsi="Calibri"/>
                <w:sz w:val="16"/>
                <w:szCs w:val="16"/>
              </w:rPr>
              <w:t xml:space="preserve"> </w:t>
            </w:r>
            <w:proofErr w:type="spellStart"/>
            <w:r w:rsidRPr="00632BA1">
              <w:rPr>
                <w:rFonts w:ascii="Calibri" w:hAnsi="Calibri"/>
                <w:sz w:val="16"/>
                <w:szCs w:val="16"/>
              </w:rPr>
              <w:t>the</w:t>
            </w:r>
            <w:proofErr w:type="spellEnd"/>
            <w:r w:rsidRPr="00632BA1">
              <w:rPr>
                <w:rFonts w:ascii="Calibri" w:hAnsi="Calibri"/>
                <w:sz w:val="16"/>
                <w:szCs w:val="16"/>
              </w:rPr>
              <w:t xml:space="preserve"> </w:t>
            </w:r>
            <w:proofErr w:type="spellStart"/>
            <w:r w:rsidRPr="00632BA1">
              <w:rPr>
                <w:rFonts w:ascii="Calibri" w:hAnsi="Calibri"/>
                <w:sz w:val="16"/>
                <w:szCs w:val="16"/>
              </w:rPr>
              <w:t>Czech</w:t>
            </w:r>
            <w:proofErr w:type="spellEnd"/>
            <w:r w:rsidRPr="00632BA1">
              <w:rPr>
                <w:rFonts w:ascii="Calibri" w:hAnsi="Calibri"/>
                <w:sz w:val="16"/>
                <w:szCs w:val="16"/>
              </w:rPr>
              <w:t xml:space="preserve"> </w:t>
            </w:r>
            <w:proofErr w:type="spellStart"/>
            <w:r w:rsidRPr="00632BA1">
              <w:rPr>
                <w:rFonts w:ascii="Calibri" w:hAnsi="Calibri"/>
                <w:sz w:val="16"/>
                <w:szCs w:val="16"/>
              </w:rPr>
              <w:t>Republic</w:t>
            </w:r>
            <w:proofErr w:type="spellEnd"/>
            <w:r w:rsidRPr="00632BA1">
              <w:rPr>
                <w:rFonts w:ascii="Calibri" w:hAnsi="Calibri"/>
                <w:sz w:val="16"/>
                <w:szCs w:val="16"/>
              </w:rPr>
              <w:t xml:space="preserve"> - </w:t>
            </w:r>
            <w:proofErr w:type="spellStart"/>
            <w:r w:rsidRPr="00632BA1">
              <w:rPr>
                <w:rFonts w:ascii="Calibri" w:hAnsi="Calibri"/>
                <w:sz w:val="16"/>
                <w:szCs w:val="16"/>
              </w:rPr>
              <w:t>Enhancing</w:t>
            </w:r>
            <w:proofErr w:type="spellEnd"/>
            <w:r w:rsidRPr="00632BA1">
              <w:rPr>
                <w:rFonts w:ascii="Calibri" w:hAnsi="Calibri"/>
                <w:sz w:val="16"/>
                <w:szCs w:val="16"/>
              </w:rPr>
              <w:t xml:space="preserve"> </w:t>
            </w:r>
            <w:proofErr w:type="spellStart"/>
            <w:r w:rsidRPr="00632BA1">
              <w:rPr>
                <w:rFonts w:ascii="Calibri" w:hAnsi="Calibri"/>
                <w:sz w:val="16"/>
                <w:szCs w:val="16"/>
              </w:rPr>
              <w:t>the</w:t>
            </w:r>
            <w:proofErr w:type="spellEnd"/>
            <w:r w:rsidRPr="00632BA1">
              <w:rPr>
                <w:rFonts w:ascii="Calibri" w:hAnsi="Calibri"/>
                <w:sz w:val="16"/>
                <w:szCs w:val="16"/>
              </w:rPr>
              <w:t xml:space="preserve"> </w:t>
            </w:r>
            <w:proofErr w:type="spellStart"/>
            <w:r w:rsidRPr="00632BA1">
              <w:rPr>
                <w:rFonts w:ascii="Calibri" w:hAnsi="Calibri"/>
                <w:sz w:val="16"/>
                <w:szCs w:val="16"/>
              </w:rPr>
              <w:t>innvation</w:t>
            </w:r>
            <w:proofErr w:type="spellEnd"/>
            <w:r w:rsidRPr="00632BA1">
              <w:rPr>
                <w:rFonts w:ascii="Calibri" w:hAnsi="Calibri"/>
                <w:sz w:val="16"/>
                <w:szCs w:val="16"/>
              </w:rPr>
              <w:t xml:space="preserve"> management </w:t>
            </w:r>
            <w:proofErr w:type="spellStart"/>
            <w:r w:rsidRPr="00632BA1">
              <w:rPr>
                <w:rFonts w:ascii="Calibri" w:hAnsi="Calibri"/>
                <w:sz w:val="16"/>
                <w:szCs w:val="16"/>
              </w:rPr>
              <w:t>capacities</w:t>
            </w:r>
            <w:proofErr w:type="spellEnd"/>
            <w:r w:rsidRPr="00632BA1">
              <w:rPr>
                <w:rFonts w:ascii="Calibri" w:hAnsi="Calibri"/>
                <w:sz w:val="16"/>
                <w:szCs w:val="16"/>
              </w:rPr>
              <w:t xml:space="preserve"> </w:t>
            </w:r>
            <w:proofErr w:type="spellStart"/>
            <w:r w:rsidRPr="00632BA1">
              <w:rPr>
                <w:rFonts w:ascii="Calibri" w:hAnsi="Calibri"/>
                <w:sz w:val="16"/>
                <w:szCs w:val="16"/>
              </w:rPr>
              <w:t>of</w:t>
            </w:r>
            <w:proofErr w:type="spellEnd"/>
            <w:r w:rsidRPr="00632BA1">
              <w:rPr>
                <w:rFonts w:ascii="Calibri" w:hAnsi="Calibri"/>
                <w:sz w:val="16"/>
                <w:szCs w:val="16"/>
              </w:rPr>
              <w:t xml:space="preserve"> </w:t>
            </w:r>
            <w:proofErr w:type="spellStart"/>
            <w:r w:rsidRPr="00632BA1">
              <w:rPr>
                <w:rFonts w:ascii="Calibri" w:hAnsi="Calibri"/>
                <w:sz w:val="16"/>
                <w:szCs w:val="16"/>
              </w:rPr>
              <w:t>SMEs</w:t>
            </w:r>
            <w:proofErr w:type="spellEnd"/>
            <w:r w:rsidRPr="00632BA1">
              <w:rPr>
                <w:rFonts w:ascii="Calibri" w:hAnsi="Calibri"/>
                <w:sz w:val="16"/>
                <w:szCs w:val="16"/>
              </w:rPr>
              <w:t xml:space="preserve"> by EEN in 2015-2016) byla podepsána 14. 7. 2015</w:t>
            </w:r>
            <w:r w:rsidR="00E76995">
              <w:rPr>
                <w:rFonts w:ascii="Calibri" w:hAnsi="Calibri"/>
                <w:sz w:val="16"/>
                <w:szCs w:val="16"/>
              </w:rPr>
              <w:t>. MPO nyní př</w:t>
            </w:r>
            <w:r w:rsidR="00BC7595">
              <w:rPr>
                <w:rFonts w:ascii="Calibri" w:hAnsi="Calibri"/>
                <w:sz w:val="16"/>
                <w:szCs w:val="16"/>
              </w:rPr>
              <w:t>i</w:t>
            </w:r>
            <w:r w:rsidR="00E76995">
              <w:rPr>
                <w:rFonts w:ascii="Calibri" w:hAnsi="Calibri"/>
                <w:sz w:val="16"/>
                <w:szCs w:val="16"/>
              </w:rPr>
              <w:t>pravuje rozhodnutí pro tuzemského realizátora sítě EEN (TC AV ČR).</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r>
      <w:tr w:rsidR="00632BA1" w:rsidRPr="00632BA1" w:rsidTr="00BC5902">
        <w:trPr>
          <w:trHeight w:val="202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20.</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a vyhlášení výzev programů podpory směřujících k posílení průmyslového výzkumu v podnicích</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Aplikace v rámci PO1</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Cílem programu „Aplikace“ je získávání nových znalostí potřebných pro vývoj nových produktů, materiálů, technologií a služeb prostřednictvím realizace projektů průmyslového výzkumu a experimentálního vývoje. Výsledky těchto činností povedou k zavádění inovací vyšších řádů a k tvorbě produktů konkurenceschopných na světových trzích.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A03163">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Datum vyhlášení výzvy 26. 6. 2015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Datum zahájení příjmu žádostí o podporu: Předběžné žádosti: 26. 6. 2015, plné žádosti: 1. 10. 2015</w:t>
            </w:r>
            <w:r w:rsidRPr="00632BA1">
              <w:rPr>
                <w:rFonts w:ascii="Calibri" w:hAnsi="Calibri"/>
                <w:sz w:val="16"/>
                <w:szCs w:val="16"/>
              </w:rPr>
              <w:br/>
            </w:r>
            <w:r w:rsidRPr="00632BA1">
              <w:rPr>
                <w:rFonts w:ascii="Calibri" w:hAnsi="Calibri"/>
                <w:sz w:val="16"/>
                <w:szCs w:val="16"/>
              </w:rPr>
              <w:br/>
              <w:t>Datum ukončení příjmu žádostí o podporu: Předběžné žádosti:  30. 9. 2015, plné žádosti: 30. 11. 2015</w:t>
            </w:r>
          </w:p>
        </w:tc>
      </w:tr>
      <w:tr w:rsidR="00632BA1" w:rsidRPr="00632BA1" w:rsidTr="00BC5902">
        <w:trPr>
          <w:trHeight w:val="42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21.</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Vytvoření a rozvoj podpůrného systému pro zahájení podnikání (podnikatelského ekosystému) – poradenské služby pro strategické řízení a management inovací (součástí bude kvalitní </w:t>
            </w:r>
            <w:proofErr w:type="spellStart"/>
            <w:r w:rsidRPr="00632BA1">
              <w:rPr>
                <w:rFonts w:ascii="Calibri" w:hAnsi="Calibri"/>
                <w:color w:val="000000"/>
                <w:sz w:val="16"/>
                <w:szCs w:val="16"/>
              </w:rPr>
              <w:t>mentoring</w:t>
            </w:r>
            <w:proofErr w:type="spellEnd"/>
            <w:r w:rsidRPr="00632BA1">
              <w:rPr>
                <w:rFonts w:ascii="Calibri" w:hAnsi="Calibri"/>
                <w:color w:val="000000"/>
                <w:sz w:val="16"/>
                <w:szCs w:val="16"/>
              </w:rPr>
              <w:t xml:space="preserve">, </w:t>
            </w:r>
            <w:proofErr w:type="spellStart"/>
            <w:r w:rsidRPr="00632BA1">
              <w:rPr>
                <w:rFonts w:ascii="Calibri" w:hAnsi="Calibri"/>
                <w:color w:val="000000"/>
                <w:sz w:val="16"/>
                <w:szCs w:val="16"/>
              </w:rPr>
              <w:t>koučing</w:t>
            </w:r>
            <w:proofErr w:type="spellEnd"/>
            <w:r w:rsidRPr="00632BA1">
              <w:rPr>
                <w:rFonts w:ascii="Calibri" w:hAnsi="Calibri"/>
                <w:color w:val="000000"/>
                <w:sz w:val="16"/>
                <w:szCs w:val="16"/>
              </w:rPr>
              <w:t>, včetně umožnění výjezdu do zahraničí k získávání zkušeností)</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12/2015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r w:rsidRPr="00632BA1">
              <w:rPr>
                <w:rFonts w:ascii="Calibri" w:hAnsi="Calibri"/>
                <w:color w:val="000000"/>
                <w:sz w:val="16"/>
                <w:szCs w:val="16"/>
              </w:rPr>
              <w:t>,</w:t>
            </w:r>
            <w:r w:rsidRPr="00632BA1">
              <w:rPr>
                <w:rFonts w:ascii="Calibri" w:hAnsi="Calibri"/>
                <w:color w:val="000000"/>
                <w:sz w:val="16"/>
                <w:szCs w:val="16"/>
              </w:rPr>
              <w:br/>
              <w:t>MPO 61000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PO2 OP PIK, vnitřní zdroje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Interní projekt CI "Podpora </w:t>
            </w:r>
            <w:proofErr w:type="spellStart"/>
            <w:r w:rsidRPr="00632BA1">
              <w:rPr>
                <w:rFonts w:ascii="Calibri" w:hAnsi="Calibri"/>
                <w:sz w:val="16"/>
                <w:szCs w:val="16"/>
              </w:rPr>
              <w:t>Startupů</w:t>
            </w:r>
            <w:proofErr w:type="spellEnd"/>
            <w:r w:rsidRPr="00632BA1">
              <w:rPr>
                <w:rFonts w:ascii="Calibri" w:hAnsi="Calibri"/>
                <w:sz w:val="16"/>
                <w:szCs w:val="16"/>
              </w:rPr>
              <w:t>" v rámci programu Marketing (PO2 OPPIK) - Internacionalizace MSP</w:t>
            </w:r>
            <w:r w:rsidRPr="00632BA1">
              <w:rPr>
                <w:rFonts w:ascii="Calibri" w:hAnsi="Calibri"/>
                <w:sz w:val="16"/>
                <w:szCs w:val="16"/>
              </w:rPr>
              <w:br/>
            </w:r>
            <w:r w:rsidRPr="00632BA1">
              <w:rPr>
                <w:rFonts w:ascii="Calibri" w:hAnsi="Calibri"/>
                <w:sz w:val="16"/>
                <w:szCs w:val="16"/>
              </w:rPr>
              <w:br/>
              <w:t>Program Poradenství v rámci PO2</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Probíhá příprava nového interního projektu skládající se ze 4 hlavních částí:                                                                        1. </w:t>
            </w:r>
            <w:proofErr w:type="spellStart"/>
            <w:r w:rsidRPr="00632BA1">
              <w:rPr>
                <w:rFonts w:ascii="Calibri" w:hAnsi="Calibri"/>
                <w:sz w:val="16"/>
                <w:szCs w:val="16"/>
              </w:rPr>
              <w:t>CzechStarter</w:t>
            </w:r>
            <w:proofErr w:type="spellEnd"/>
            <w:r w:rsidRPr="00632BA1">
              <w:rPr>
                <w:rFonts w:ascii="Calibri" w:hAnsi="Calibri"/>
                <w:sz w:val="16"/>
                <w:szCs w:val="16"/>
              </w:rPr>
              <w:t xml:space="preserve"> (dříve projekt </w:t>
            </w:r>
            <w:proofErr w:type="spellStart"/>
            <w:r w:rsidRPr="00632BA1">
              <w:rPr>
                <w:rFonts w:ascii="Calibri" w:hAnsi="Calibri"/>
                <w:sz w:val="16"/>
                <w:szCs w:val="16"/>
              </w:rPr>
              <w:t>CzechEkoSystem</w:t>
            </w:r>
            <w:proofErr w:type="spellEnd"/>
            <w:r w:rsidRPr="00632BA1">
              <w:rPr>
                <w:rFonts w:ascii="Calibri" w:hAnsi="Calibri"/>
                <w:sz w:val="16"/>
                <w:szCs w:val="16"/>
              </w:rPr>
              <w:t xml:space="preserve">) Cílem projektu je poskytnout začínajícím firmám </w:t>
            </w:r>
            <w:proofErr w:type="spellStart"/>
            <w:r w:rsidRPr="00632BA1">
              <w:rPr>
                <w:rFonts w:ascii="Calibri" w:hAnsi="Calibri"/>
                <w:sz w:val="16"/>
                <w:szCs w:val="16"/>
              </w:rPr>
              <w:t>mentoring</w:t>
            </w:r>
            <w:proofErr w:type="spellEnd"/>
            <w:r w:rsidRPr="00632BA1">
              <w:rPr>
                <w:rFonts w:ascii="Calibri" w:hAnsi="Calibri"/>
                <w:sz w:val="16"/>
                <w:szCs w:val="16"/>
              </w:rPr>
              <w:t xml:space="preserve"> a informace, které jsou nezbytné pro překonání problémů v počáteční fázi podnikání: </w:t>
            </w:r>
            <w:proofErr w:type="spellStart"/>
            <w:r w:rsidRPr="00632BA1">
              <w:rPr>
                <w:rFonts w:ascii="Calibri" w:hAnsi="Calibri"/>
                <w:sz w:val="16"/>
                <w:szCs w:val="16"/>
              </w:rPr>
              <w:t>mentoring</w:t>
            </w:r>
            <w:proofErr w:type="spellEnd"/>
            <w:r w:rsidRPr="00632BA1">
              <w:rPr>
                <w:rFonts w:ascii="Calibri" w:hAnsi="Calibri"/>
                <w:sz w:val="16"/>
                <w:szCs w:val="16"/>
              </w:rPr>
              <w:t xml:space="preserve">, poradenství, mezinárodní </w:t>
            </w:r>
            <w:proofErr w:type="spellStart"/>
            <w:r w:rsidRPr="00632BA1">
              <w:rPr>
                <w:rFonts w:ascii="Calibri" w:hAnsi="Calibri"/>
                <w:sz w:val="16"/>
                <w:szCs w:val="16"/>
              </w:rPr>
              <w:t>bootcamp</w:t>
            </w:r>
            <w:proofErr w:type="spellEnd"/>
            <w:r w:rsidRPr="00632BA1">
              <w:rPr>
                <w:rFonts w:ascii="Calibri" w:hAnsi="Calibri"/>
                <w:sz w:val="16"/>
                <w:szCs w:val="16"/>
              </w:rPr>
              <w:t xml:space="preserve">, zvyšující se atraktivita společnosti pro investiční kapitál,   </w:t>
            </w:r>
            <w:proofErr w:type="spellStart"/>
            <w:r w:rsidRPr="00632BA1">
              <w:rPr>
                <w:rFonts w:ascii="Calibri" w:hAnsi="Calibri"/>
                <w:sz w:val="16"/>
                <w:szCs w:val="16"/>
              </w:rPr>
              <w:t>Matchmaking</w:t>
            </w:r>
            <w:proofErr w:type="spellEnd"/>
            <w:r w:rsidRPr="00632BA1">
              <w:rPr>
                <w:rFonts w:ascii="Calibri" w:hAnsi="Calibri"/>
                <w:sz w:val="16"/>
                <w:szCs w:val="16"/>
              </w:rPr>
              <w:t xml:space="preserve">-typ finančního fóra k představení problematiky rizikového kapitálu Dvoutýdenní program v Silicon </w:t>
            </w:r>
            <w:proofErr w:type="spellStart"/>
            <w:r w:rsidRPr="00632BA1">
              <w:rPr>
                <w:rFonts w:ascii="Calibri" w:hAnsi="Calibri"/>
                <w:sz w:val="16"/>
                <w:szCs w:val="16"/>
              </w:rPr>
              <w:t>Valley</w:t>
            </w:r>
            <w:proofErr w:type="spellEnd"/>
            <w:r w:rsidRPr="00632BA1">
              <w:rPr>
                <w:rFonts w:ascii="Calibri" w:hAnsi="Calibri"/>
                <w:sz w:val="16"/>
                <w:szCs w:val="16"/>
              </w:rPr>
              <w:t xml:space="preserve"> pro internacionalizaci nejlepších společností z programu</w:t>
            </w:r>
            <w:r w:rsidRPr="00632BA1">
              <w:rPr>
                <w:rFonts w:ascii="Calibri" w:hAnsi="Calibri"/>
                <w:sz w:val="16"/>
                <w:szCs w:val="16"/>
              </w:rPr>
              <w:br/>
              <w:t xml:space="preserve">2. </w:t>
            </w:r>
            <w:proofErr w:type="spellStart"/>
            <w:r w:rsidRPr="00632BA1">
              <w:rPr>
                <w:rFonts w:ascii="Calibri" w:hAnsi="Calibri"/>
                <w:sz w:val="16"/>
                <w:szCs w:val="16"/>
              </w:rPr>
              <w:t>CzechAccelerator</w:t>
            </w:r>
            <w:proofErr w:type="spellEnd"/>
            <w:r w:rsidRPr="00632BA1">
              <w:rPr>
                <w:rFonts w:ascii="Calibri" w:hAnsi="Calibri"/>
                <w:sz w:val="16"/>
                <w:szCs w:val="16"/>
              </w:rPr>
              <w:t xml:space="preserve"> 2.0</w:t>
            </w:r>
            <w:r w:rsidRPr="00632BA1">
              <w:rPr>
                <w:rFonts w:ascii="Calibri" w:hAnsi="Calibri"/>
                <w:sz w:val="16"/>
                <w:szCs w:val="16"/>
              </w:rPr>
              <w:br/>
              <w:t xml:space="preserve">Cílem projektu je pomoci inovativním společnostem získat zkušenosti s podnikáním na vyspělých zahraničních trzích, a to zejména prostřednictvím rozvoje manažerských zkušeností a posílení </w:t>
            </w:r>
            <w:r w:rsidRPr="00632BA1">
              <w:rPr>
                <w:rFonts w:ascii="Calibri" w:hAnsi="Calibri"/>
                <w:sz w:val="16"/>
                <w:szCs w:val="16"/>
              </w:rPr>
              <w:lastRenderedPageBreak/>
              <w:t>marketingových dovedností.</w:t>
            </w:r>
            <w:r w:rsidRPr="00632BA1">
              <w:rPr>
                <w:rFonts w:ascii="Calibri" w:hAnsi="Calibri"/>
                <w:sz w:val="16"/>
                <w:szCs w:val="16"/>
              </w:rPr>
              <w:br/>
              <w:t xml:space="preserve">Hlavní body: mezinárodní inkubace, expanze na mezinárodní trh, snadný přístup k potenciálním partnerům, </w:t>
            </w:r>
            <w:proofErr w:type="spellStart"/>
            <w:r w:rsidRPr="00632BA1">
              <w:rPr>
                <w:rFonts w:ascii="Calibri" w:hAnsi="Calibri"/>
                <w:sz w:val="16"/>
                <w:szCs w:val="16"/>
              </w:rPr>
              <w:t>networking</w:t>
            </w:r>
            <w:proofErr w:type="spellEnd"/>
            <w:r w:rsidRPr="00632BA1">
              <w:rPr>
                <w:rFonts w:ascii="Calibri" w:hAnsi="Calibri"/>
                <w:sz w:val="16"/>
                <w:szCs w:val="16"/>
              </w:rPr>
              <w:t xml:space="preserve"> a </w:t>
            </w:r>
            <w:proofErr w:type="spellStart"/>
            <w:r w:rsidRPr="00632BA1">
              <w:rPr>
                <w:rFonts w:ascii="Calibri" w:hAnsi="Calibri"/>
                <w:sz w:val="16"/>
                <w:szCs w:val="16"/>
              </w:rPr>
              <w:t>mentoring</w:t>
            </w:r>
            <w:proofErr w:type="spellEnd"/>
            <w:r w:rsidRPr="00632BA1">
              <w:rPr>
                <w:rFonts w:ascii="Calibri" w:hAnsi="Calibri"/>
                <w:sz w:val="16"/>
                <w:szCs w:val="16"/>
              </w:rPr>
              <w:t xml:space="preserve"> (Destinace: Silicon </w:t>
            </w:r>
            <w:proofErr w:type="spellStart"/>
            <w:r w:rsidRPr="00632BA1">
              <w:rPr>
                <w:rFonts w:ascii="Calibri" w:hAnsi="Calibri"/>
                <w:sz w:val="16"/>
                <w:szCs w:val="16"/>
              </w:rPr>
              <w:t>Valley</w:t>
            </w:r>
            <w:proofErr w:type="spellEnd"/>
            <w:r w:rsidRPr="00632BA1">
              <w:rPr>
                <w:rFonts w:ascii="Calibri" w:hAnsi="Calibri"/>
                <w:sz w:val="16"/>
                <w:szCs w:val="16"/>
              </w:rPr>
              <w:t>, New York, Singapur, Londýn)</w:t>
            </w:r>
            <w:r w:rsidRPr="00632BA1">
              <w:rPr>
                <w:rFonts w:ascii="Calibri" w:hAnsi="Calibri"/>
                <w:sz w:val="16"/>
                <w:szCs w:val="16"/>
              </w:rPr>
              <w:br/>
              <w:t xml:space="preserve">3. </w:t>
            </w:r>
            <w:proofErr w:type="spellStart"/>
            <w:r w:rsidRPr="00632BA1">
              <w:rPr>
                <w:rFonts w:ascii="Calibri" w:hAnsi="Calibri"/>
                <w:sz w:val="16"/>
                <w:szCs w:val="16"/>
              </w:rPr>
              <w:t>TechMatch</w:t>
            </w:r>
            <w:proofErr w:type="spellEnd"/>
            <w:r w:rsidRPr="00632BA1">
              <w:rPr>
                <w:rFonts w:ascii="Calibri" w:hAnsi="Calibri"/>
                <w:sz w:val="16"/>
                <w:szCs w:val="16"/>
              </w:rPr>
              <w:br/>
              <w:t xml:space="preserve">Cílem projektu je získat zpětnou vazbu o produktu společnosti od zahraničních investorů. Událost pořádá agentura </w:t>
            </w:r>
            <w:proofErr w:type="spellStart"/>
            <w:r w:rsidRPr="00632BA1">
              <w:rPr>
                <w:rFonts w:ascii="Calibri" w:hAnsi="Calibri"/>
                <w:sz w:val="16"/>
                <w:szCs w:val="16"/>
              </w:rPr>
              <w:t>CzechInvest</w:t>
            </w:r>
            <w:proofErr w:type="spellEnd"/>
            <w:r w:rsidRPr="00632BA1">
              <w:rPr>
                <w:rFonts w:ascii="Calibri" w:hAnsi="Calibri"/>
                <w:sz w:val="16"/>
                <w:szCs w:val="16"/>
              </w:rPr>
              <w:t xml:space="preserve"> společně se zahraničním partnerem (podnikatelským inkubátorem) ve vybrané destinaci.</w:t>
            </w:r>
            <w:r w:rsidRPr="00632BA1">
              <w:rPr>
                <w:rFonts w:ascii="Calibri" w:hAnsi="Calibri"/>
                <w:sz w:val="16"/>
                <w:szCs w:val="16"/>
              </w:rPr>
              <w:br/>
              <w:t>4. Účast na mezinárodních start-</w:t>
            </w:r>
            <w:proofErr w:type="spellStart"/>
            <w:r w:rsidRPr="00632BA1">
              <w:rPr>
                <w:rFonts w:ascii="Calibri" w:hAnsi="Calibri"/>
                <w:sz w:val="16"/>
                <w:szCs w:val="16"/>
              </w:rPr>
              <w:t>upových</w:t>
            </w:r>
            <w:proofErr w:type="spellEnd"/>
            <w:r w:rsidRPr="00632BA1">
              <w:rPr>
                <w:rFonts w:ascii="Calibri" w:hAnsi="Calibri"/>
                <w:sz w:val="16"/>
                <w:szCs w:val="16"/>
              </w:rPr>
              <w:t xml:space="preserve"> akcích </w:t>
            </w:r>
            <w:r w:rsidRPr="00632BA1">
              <w:rPr>
                <w:rFonts w:ascii="Calibri" w:hAnsi="Calibri"/>
                <w:sz w:val="16"/>
                <w:szCs w:val="16"/>
              </w:rPr>
              <w:br/>
              <w:t xml:space="preserve">Cílem projektu je podpořit začínající firmy na konferencích a </w:t>
            </w:r>
            <w:proofErr w:type="spellStart"/>
            <w:r w:rsidRPr="00632BA1">
              <w:rPr>
                <w:rFonts w:ascii="Calibri" w:hAnsi="Calibri"/>
                <w:sz w:val="16"/>
                <w:szCs w:val="16"/>
              </w:rPr>
              <w:t>startupových</w:t>
            </w:r>
            <w:proofErr w:type="spellEnd"/>
            <w:r w:rsidRPr="00632BA1">
              <w:rPr>
                <w:rFonts w:ascii="Calibri" w:hAnsi="Calibri"/>
                <w:sz w:val="16"/>
                <w:szCs w:val="16"/>
              </w:rPr>
              <w:t xml:space="preserve"> festivalech, zvýšit jejich konkurenceschopnost a umožnit získání silného zahraničního partnera či investice.</w:t>
            </w:r>
          </w:p>
        </w:tc>
        <w:tc>
          <w:tcPr>
            <w:tcW w:w="1984" w:type="dxa"/>
            <w:tcBorders>
              <w:top w:val="single" w:sz="4" w:space="0" w:color="auto"/>
              <w:left w:val="single" w:sz="4" w:space="0" w:color="auto"/>
              <w:bottom w:val="single" w:sz="4" w:space="0" w:color="auto"/>
              <w:right w:val="single" w:sz="4" w:space="0" w:color="auto"/>
            </w:tcBorders>
            <w:shd w:val="clear" w:color="000000" w:fill="C2D69B" w:themeFill="accent3" w:themeFillTint="99"/>
            <w:hideMark/>
          </w:tcPr>
          <w:p w:rsidR="00632BA1" w:rsidRPr="00632BA1" w:rsidRDefault="00AC21A2" w:rsidP="007540E3">
            <w:pPr>
              <w:overflowPunct/>
              <w:autoSpaceDE/>
              <w:autoSpaceDN/>
              <w:adjustRightInd/>
              <w:spacing w:after="0" w:line="240" w:lineRule="auto"/>
              <w:textAlignment w:val="auto"/>
              <w:rPr>
                <w:rFonts w:ascii="Calibri" w:hAnsi="Calibri"/>
                <w:sz w:val="16"/>
                <w:szCs w:val="16"/>
              </w:rPr>
            </w:pPr>
            <w:r>
              <w:rPr>
                <w:rFonts w:ascii="Calibri" w:hAnsi="Calibri"/>
                <w:sz w:val="16"/>
                <w:szCs w:val="16"/>
              </w:rPr>
              <w:lastRenderedPageBreak/>
              <w:t xml:space="preserve">Ano - </w:t>
            </w:r>
            <w:r w:rsidR="007540E3" w:rsidRPr="007540E3">
              <w:rPr>
                <w:rFonts w:ascii="Calibri" w:hAnsi="Calibri"/>
                <w:sz w:val="16"/>
                <w:szCs w:val="16"/>
              </w:rPr>
              <w:t>MPO vyhlásilo výzvu 1.</w:t>
            </w:r>
            <w:r w:rsidR="007540E3">
              <w:rPr>
                <w:rFonts w:ascii="Calibri" w:hAnsi="Calibri"/>
                <w:sz w:val="16"/>
                <w:szCs w:val="16"/>
              </w:rPr>
              <w:t> </w:t>
            </w:r>
            <w:r w:rsidR="007540E3" w:rsidRPr="007540E3">
              <w:rPr>
                <w:rFonts w:ascii="Calibri" w:hAnsi="Calibri"/>
                <w:sz w:val="16"/>
                <w:szCs w:val="16"/>
              </w:rPr>
              <w:t>10. 2015</w:t>
            </w:r>
            <w:r w:rsidR="007540E3">
              <w:rPr>
                <w:rFonts w:ascii="Calibri" w:hAnsi="Calibri"/>
                <w:sz w:val="16"/>
                <w:szCs w:val="16"/>
              </w:rPr>
              <w:t xml:space="preserve"> a nyní probíhá hodnocen</w:t>
            </w:r>
            <w:r>
              <w:rPr>
                <w:rFonts w:ascii="Calibri" w:hAnsi="Calibri"/>
                <w:sz w:val="16"/>
                <w:szCs w:val="16"/>
              </w:rPr>
              <w:t xml:space="preserve">í projektu agentury </w:t>
            </w:r>
            <w:proofErr w:type="spellStart"/>
            <w:r>
              <w:rPr>
                <w:rFonts w:ascii="Calibri" w:hAnsi="Calibri"/>
                <w:sz w:val="16"/>
                <w:szCs w:val="16"/>
              </w:rPr>
              <w:t>CzechInvest</w:t>
            </w:r>
            <w:proofErr w:type="spellEnd"/>
          </w:p>
        </w:tc>
        <w:tc>
          <w:tcPr>
            <w:tcW w:w="2410" w:type="dxa"/>
            <w:tcBorders>
              <w:top w:val="single" w:sz="4" w:space="0" w:color="auto"/>
              <w:left w:val="nil"/>
              <w:bottom w:val="single" w:sz="4" w:space="0" w:color="auto"/>
              <w:right w:val="single" w:sz="4" w:space="0" w:color="auto"/>
            </w:tcBorders>
            <w:shd w:val="clear" w:color="000000" w:fill="C2D69B" w:themeFill="accent3" w:themeFillTint="99"/>
          </w:tcPr>
          <w:p w:rsidR="00632BA1" w:rsidRPr="00632BA1" w:rsidRDefault="00632BA1" w:rsidP="007540E3">
            <w:pPr>
              <w:overflowPunct/>
              <w:autoSpaceDE/>
              <w:autoSpaceDN/>
              <w:adjustRightInd/>
              <w:spacing w:after="0" w:line="240" w:lineRule="auto"/>
              <w:textAlignment w:val="auto"/>
              <w:rPr>
                <w:rFonts w:ascii="Calibri" w:hAnsi="Calibri"/>
                <w:sz w:val="16"/>
                <w:szCs w:val="16"/>
              </w:rPr>
            </w:pPr>
          </w:p>
        </w:tc>
        <w:tc>
          <w:tcPr>
            <w:tcW w:w="1701" w:type="dxa"/>
            <w:tcBorders>
              <w:top w:val="single" w:sz="4" w:space="0" w:color="auto"/>
              <w:left w:val="nil"/>
              <w:bottom w:val="single" w:sz="4" w:space="0" w:color="auto"/>
              <w:right w:val="single" w:sz="4" w:space="0" w:color="auto"/>
            </w:tcBorders>
            <w:shd w:val="clear" w:color="000000"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Projekt je plánován na období 2015 - 2019</w:t>
            </w:r>
          </w:p>
        </w:tc>
      </w:tr>
      <w:tr w:rsidR="00632BA1" w:rsidRPr="00632BA1" w:rsidTr="00197188">
        <w:trPr>
          <w:trHeight w:val="3375"/>
        </w:trPr>
        <w:tc>
          <w:tcPr>
            <w:tcW w:w="3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22.</w:t>
            </w:r>
          </w:p>
        </w:tc>
        <w:tc>
          <w:tcPr>
            <w:tcW w:w="13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Podpora inovační infrastruktury tak, aby byly schopné nabídnout inovačním podnikatelům dostatečné odborné zázemí pro systematické řízení inovačního cyklu (zejména podporou poskytování služeb)</w:t>
            </w:r>
          </w:p>
        </w:tc>
        <w:tc>
          <w:tcPr>
            <w:tcW w:w="115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Služby infrastruktury v rámci PO1 OP PIK</w:t>
            </w:r>
            <w:r w:rsidRPr="00632BA1">
              <w:rPr>
                <w:rFonts w:ascii="Calibri" w:hAnsi="Calibri"/>
                <w:sz w:val="16"/>
                <w:szCs w:val="16"/>
              </w:rPr>
              <w:br/>
            </w:r>
            <w:r w:rsidRPr="00632BA1">
              <w:rPr>
                <w:rFonts w:ascii="Calibri" w:hAnsi="Calibri"/>
                <w:sz w:val="16"/>
                <w:szCs w:val="16"/>
              </w:rPr>
              <w:br/>
              <w:t>Program Poradenství v rámci PO2</w:t>
            </w:r>
          </w:p>
        </w:tc>
        <w:tc>
          <w:tcPr>
            <w:tcW w:w="2552" w:type="dxa"/>
            <w:tcBorders>
              <w:top w:val="single" w:sz="4" w:space="0" w:color="auto"/>
              <w:left w:val="nil"/>
              <w:bottom w:val="single" w:sz="4" w:space="0" w:color="auto"/>
              <w:right w:val="nil"/>
            </w:tcBorders>
            <w:shd w:val="clear" w:color="auto" w:fill="FABF8F" w:themeFill="accent6" w:themeFillTint="99"/>
            <w:hideMark/>
          </w:tcPr>
          <w:p w:rsidR="00632BA1" w:rsidRPr="00632BA1" w:rsidRDefault="00632BA1" w:rsidP="00AC21A2">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Hlavním cílem programu je prostřednictvím dotací zkvalitňování služeb podpůrné infrastruktury, která povede ke zvýšení intenzity společných výzkumných, vývojových a inovačních aktivit mezi podnikatelskými subjekty a mezi veřejným a podnikovým sektorem se zaměřeným zejména na realizaci nových technologií a konkurenceschopných výrobků a služeb. Tyto aktivity povedou ke zlepšení mezisektorové spolupráce a podmínek pro rozvoj inovačních firem a konkurenční výhody jako zásadního prvku ovlivňujícího efektivitu celého inovačního systému v ČR. Cílem programu Poradenství v rámci PO2 je poskytování</w:t>
            </w:r>
            <w:r w:rsidR="00AC21A2">
              <w:rPr>
                <w:rFonts w:ascii="Calibri" w:hAnsi="Calibri"/>
                <w:sz w:val="16"/>
                <w:szCs w:val="16"/>
              </w:rPr>
              <w:t xml:space="preserve"> základních poradenských služeb </w:t>
            </w:r>
            <w:r w:rsidRPr="00632BA1">
              <w:rPr>
                <w:rFonts w:ascii="Calibri" w:hAnsi="Calibri"/>
                <w:sz w:val="16"/>
                <w:szCs w:val="16"/>
              </w:rPr>
              <w:t xml:space="preserve">prostřednictvím externích poradců oprávněných k této činnosti podle platných právních předpisů. </w:t>
            </w:r>
            <w:r w:rsidRPr="00632BA1">
              <w:rPr>
                <w:rFonts w:ascii="Calibri" w:hAnsi="Calibri"/>
                <w:sz w:val="16"/>
                <w:szCs w:val="16"/>
              </w:rPr>
              <w:lastRenderedPageBreak/>
              <w:t>Poskytování základních poradenských služeb a služeb pro MSP bude zaměřeno na začínající firmy v oblasti výroby, stavebnictví, obchodu a služeb s cílem podpořit zvýšení počtu nových podnikatelů a konkurenceschopnosti začínajících MSP v hospodářsky problémových regionech.</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Ne</w:t>
            </w:r>
          </w:p>
        </w:tc>
        <w:tc>
          <w:tcPr>
            <w:tcW w:w="2410" w:type="dxa"/>
            <w:tcBorders>
              <w:top w:val="single" w:sz="4" w:space="0" w:color="auto"/>
              <w:left w:val="nil"/>
              <w:bottom w:val="single" w:sz="4" w:space="0" w:color="auto"/>
              <w:right w:val="single" w:sz="4" w:space="0" w:color="auto"/>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výzvy</w:t>
            </w:r>
          </w:p>
        </w:tc>
        <w:tc>
          <w:tcPr>
            <w:tcW w:w="1701" w:type="dxa"/>
            <w:tcBorders>
              <w:top w:val="single" w:sz="4" w:space="0" w:color="auto"/>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Plánované vyhlášení do konce roku 2015</w:t>
            </w:r>
          </w:p>
        </w:tc>
      </w:tr>
      <w:tr w:rsidR="00632BA1" w:rsidRPr="00632BA1" w:rsidTr="00197188">
        <w:trPr>
          <w:trHeight w:val="24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lastRenderedPageBreak/>
              <w:t>23.</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Příprava a vyhlášení výzev programů podpory směřujících ke zkvalitnění infrastruktury pro rozvoj lidských zdrojů s důrazem na technické vzdělávání</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61000,</w:t>
            </w:r>
            <w:r w:rsidRPr="00632BA1">
              <w:rPr>
                <w:rFonts w:ascii="Calibri" w:hAnsi="Calibri"/>
                <w:sz w:val="16"/>
                <w:szCs w:val="16"/>
              </w:rPr>
              <w:br/>
            </w:r>
            <w:proofErr w:type="spellStart"/>
            <w:r w:rsidRPr="00632BA1">
              <w:rPr>
                <w:rFonts w:ascii="Calibri" w:hAnsi="Calibri"/>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PO2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Školicí střediska v rámci PO2 OP PIK</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Cílem programu je rozvoj nové a využití stávající infrastruktury pro vzdělávání a rozvoj lidských zdrojů v podnikatelském sektoru s možností využití této infrastruktury pro potřeby odborné přípravy v počátečním technickém vzdělávání. Prostřednictvím výše uvedeného dojde k vytvoření odpovídajících materiálních kapacit MSP pro zajištění činností souvisejících s odborným vzděláváním, ke zvýšení produktivity práce v sektoru MSP, ke zvýšení podílu osob v produktivním věku účastnících se dalšího odborného vzdělávání a dále ke zvýšení inovačních aktivit MSP v důsledku lepší dostupnosti kvalifikovaných lidských zdrojů.</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AC21A2">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Datum vyhlášení výzvy 29. 5. 2015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Datum zahájení příjmu žádostí o podporu: Předběžné žádosti: 2. 6. 2015, plné žádosti: 1. 9. 2015</w:t>
            </w:r>
            <w:r w:rsidRPr="00632BA1">
              <w:rPr>
                <w:rFonts w:ascii="Calibri" w:hAnsi="Calibri"/>
                <w:sz w:val="16"/>
                <w:szCs w:val="16"/>
              </w:rPr>
              <w:br/>
            </w:r>
            <w:r w:rsidRPr="00632BA1">
              <w:rPr>
                <w:rFonts w:ascii="Calibri" w:hAnsi="Calibri"/>
                <w:sz w:val="16"/>
                <w:szCs w:val="16"/>
              </w:rPr>
              <w:br/>
              <w:t>Datum ukončení příjmu žádostí o podporu: Předběžné žádosti:  31. 8. 2015, plné žádosti: 30. 11. 2015</w:t>
            </w:r>
          </w:p>
        </w:tc>
      </w:tr>
      <w:tr w:rsidR="00632BA1" w:rsidRPr="00632BA1" w:rsidTr="00AC4C3C">
        <w:trPr>
          <w:trHeight w:val="15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24.</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Komunikační a osvětové aktivity na podporu podnikavosti studentů a nových podnikatelů</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Aktivity EEN</w:t>
            </w:r>
            <w:r w:rsidRPr="00632BA1">
              <w:rPr>
                <w:rFonts w:ascii="Calibri" w:hAnsi="Calibri"/>
                <w:sz w:val="16"/>
                <w:szCs w:val="16"/>
              </w:rPr>
              <w:br/>
              <w:t>program Poradenství v rámci PO2</w:t>
            </w:r>
            <w:r w:rsidRPr="00632BA1">
              <w:rPr>
                <w:rFonts w:ascii="Calibri" w:hAnsi="Calibri"/>
                <w:sz w:val="16"/>
                <w:szCs w:val="16"/>
              </w:rPr>
              <w:br/>
              <w:t>Aktivity regionálních kanceláří CI</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r w:rsidRPr="00632BA1">
              <w:rPr>
                <w:rFonts w:ascii="Calibri" w:hAnsi="Calibri"/>
                <w:color w:val="000000"/>
                <w:sz w:val="16"/>
                <w:szCs w:val="16"/>
              </w:rPr>
              <w:t xml:space="preserve"> začal pořádat pravidelně v regionech akce na podporu začínajících firem, kdy se snaží představit ty nejúspěšnější společnosti s prokazatelným globálním úspěchem dalším adeptům pro podnikání, aby tyto motivovali k riziku jít do vlastního podnikání.</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 přípravě pilotní projekty v regionech na podporu podnikavosti studentů a nových podnikatelů od roku 2016</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Ucelený a funkční systém do roku 2018</w:t>
            </w:r>
          </w:p>
        </w:tc>
      </w:tr>
      <w:tr w:rsidR="00632BA1" w:rsidRPr="00632BA1" w:rsidTr="00AC4C3C">
        <w:trPr>
          <w:trHeight w:val="24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25.</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Realizace podpůrných aktivity (souboru marketingových projektů) zaměřených na jednotlivé aspekty inovačního prostředí a podnikání v něm</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9A1F8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r w:rsidRPr="00632BA1">
              <w:rPr>
                <w:rFonts w:ascii="Calibri" w:hAnsi="Calibri"/>
                <w:color w:val="000000"/>
                <w:sz w:val="16"/>
                <w:szCs w:val="16"/>
              </w:rPr>
              <w:t xml:space="preserve">, </w:t>
            </w:r>
            <w:r w:rsidRPr="00632BA1">
              <w:rPr>
                <w:rFonts w:ascii="Calibri" w:hAnsi="Calibri"/>
                <w:color w:val="000000"/>
                <w:sz w:val="16"/>
                <w:szCs w:val="16"/>
              </w:rPr>
              <w:br/>
              <w:t>MPO 6</w:t>
            </w:r>
            <w:r w:rsidR="009A1F81">
              <w:rPr>
                <w:rFonts w:ascii="Calibri" w:hAnsi="Calibri"/>
                <w:color w:val="000000"/>
                <w:sz w:val="16"/>
                <w:szCs w:val="16"/>
              </w:rPr>
              <w:t>1</w:t>
            </w:r>
            <w:r w:rsidRPr="00632BA1">
              <w:rPr>
                <w:rFonts w:ascii="Calibri" w:hAnsi="Calibri"/>
                <w:color w:val="000000"/>
                <w:sz w:val="16"/>
                <w:szCs w:val="16"/>
              </w:rPr>
              <w:t>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Poradenství,</w:t>
            </w:r>
            <w:r w:rsidRPr="00632BA1">
              <w:rPr>
                <w:rFonts w:ascii="Calibri" w:hAnsi="Calibri"/>
                <w:sz w:val="16"/>
                <w:szCs w:val="16"/>
              </w:rPr>
              <w:br/>
              <w:t>Program Marketing v rámci PO2</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Marketing OP</w:t>
            </w:r>
            <w:r w:rsidR="00AC21A2">
              <w:rPr>
                <w:rFonts w:ascii="Calibri" w:hAnsi="Calibri"/>
                <w:sz w:val="16"/>
                <w:szCs w:val="16"/>
              </w:rPr>
              <w:t xml:space="preserve"> </w:t>
            </w:r>
            <w:r w:rsidRPr="00632BA1">
              <w:rPr>
                <w:rFonts w:ascii="Calibri" w:hAnsi="Calibri"/>
                <w:sz w:val="16"/>
                <w:szCs w:val="16"/>
              </w:rPr>
              <w:t>PIK: Cílem programu „Marketing“ je posílení růstových motivací MSP, jejich schopnosti a marketingové připravenosti nacházet nové trhy mimo ČR (územně i produktově), vstupovat na ně a udržet se na nich. S tím souvisí zvýšená schopnost mezinárodní expanze, rozšiřování exportní působnosti, výrobních a prodejních aktivit.</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7540E3">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29. 5. 2015 byla vyhlášena první Výzva v programu Marketing OP</w:t>
            </w:r>
            <w:r w:rsidR="00AC21A2">
              <w:rPr>
                <w:rFonts w:ascii="Calibri" w:hAnsi="Calibri"/>
                <w:sz w:val="16"/>
                <w:szCs w:val="16"/>
              </w:rPr>
              <w:t xml:space="preserve"> </w:t>
            </w:r>
            <w:r w:rsidRPr="00632BA1">
              <w:rPr>
                <w:rFonts w:ascii="Calibri" w:hAnsi="Calibri"/>
                <w:sz w:val="16"/>
                <w:szCs w:val="16"/>
              </w:rPr>
              <w:t xml:space="preserve">PIK. 2. 6. byl zahájen příjem žádostí. </w:t>
            </w:r>
            <w:r w:rsidR="007540E3">
              <w:rPr>
                <w:rFonts w:ascii="Calibri" w:hAnsi="Calibri"/>
                <w:sz w:val="16"/>
                <w:szCs w:val="16"/>
              </w:rPr>
              <w:t xml:space="preserve">Dne </w:t>
            </w:r>
            <w:r w:rsidR="00333C46">
              <w:rPr>
                <w:rFonts w:ascii="Calibri" w:hAnsi="Calibri"/>
                <w:sz w:val="16"/>
                <w:szCs w:val="16"/>
              </w:rPr>
              <w:t>9. 11</w:t>
            </w:r>
            <w:r w:rsidR="007540E3">
              <w:rPr>
                <w:rFonts w:ascii="Calibri" w:hAnsi="Calibri"/>
                <w:sz w:val="16"/>
                <w:szCs w:val="16"/>
              </w:rPr>
              <w:t>. byl</w:t>
            </w:r>
            <w:r w:rsidRPr="00632BA1">
              <w:rPr>
                <w:rFonts w:ascii="Calibri" w:hAnsi="Calibri"/>
                <w:sz w:val="16"/>
                <w:szCs w:val="16"/>
              </w:rPr>
              <w:t xml:space="preserve"> příjem žádostí ukončen.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r>
      <w:tr w:rsidR="00632BA1" w:rsidRPr="00632BA1" w:rsidTr="00AC4C3C">
        <w:trPr>
          <w:trHeight w:val="450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26.</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Pokračování v rozvoji informačního portálu pro podnikatele Businessinfo.cz s cílem vytvořit z něj základní místo pro informace o podpoře podnikání</w:t>
            </w:r>
          </w:p>
        </w:tc>
        <w:tc>
          <w:tcPr>
            <w:tcW w:w="11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vlastního harmonogramu</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CzechTrade</w:t>
            </w:r>
            <w:proofErr w:type="spellEnd"/>
          </w:p>
        </w:tc>
        <w:tc>
          <w:tcPr>
            <w:tcW w:w="9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Vnitřní zdroje</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Rozvoj internetového informačního portálu BusinessInfo.cz</w:t>
            </w:r>
          </w:p>
        </w:tc>
        <w:tc>
          <w:tcPr>
            <w:tcW w:w="2552" w:type="dxa"/>
            <w:tcBorders>
              <w:top w:val="single" w:sz="4" w:space="0" w:color="auto"/>
              <w:left w:val="single" w:sz="4" w:space="0" w:color="auto"/>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Obsahový a funkční (SW) rozvoj portálu v oblastech: podpora exportu, podpora podnikání, usnadnění podnikání, snižování administrativních bariér.</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AC21A2">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 podnikatele byly zpracovány a publikovány informace o novém programovacím období ze Strukturálních fondů - zaměřeno na představení a vysvětlení terminologie OP</w:t>
            </w:r>
            <w:r w:rsidR="00AC21A2">
              <w:rPr>
                <w:rFonts w:ascii="Calibri" w:hAnsi="Calibri"/>
                <w:sz w:val="16"/>
                <w:szCs w:val="16"/>
              </w:rPr>
              <w:t xml:space="preserve"> </w:t>
            </w:r>
            <w:r w:rsidRPr="00632BA1">
              <w:rPr>
                <w:rFonts w:ascii="Calibri" w:hAnsi="Calibri"/>
                <w:sz w:val="16"/>
                <w:szCs w:val="16"/>
              </w:rPr>
              <w:t xml:space="preserve">PIK a dalších programů, kde mohou podnikatelé žádat o podpory. V rámci podpory exportu byly kompletně zpracovány nové Souhrnné teritoriální informace pro všechny země ve spolupráci s MZV a MPO, dále aplikace Mapa oborových příležitostí a služby Klientského centra pro export. Každý měsíc je ze strany </w:t>
            </w:r>
            <w:proofErr w:type="spellStart"/>
            <w:r w:rsidRPr="00632BA1">
              <w:rPr>
                <w:rFonts w:ascii="Calibri" w:hAnsi="Calibri"/>
                <w:sz w:val="16"/>
                <w:szCs w:val="16"/>
              </w:rPr>
              <w:t>CzechTrade</w:t>
            </w:r>
            <w:proofErr w:type="spellEnd"/>
            <w:r w:rsidRPr="00632BA1">
              <w:rPr>
                <w:rFonts w:ascii="Calibri" w:hAnsi="Calibri"/>
                <w:sz w:val="16"/>
                <w:szCs w:val="16"/>
              </w:rPr>
              <w:t xml:space="preserve"> zpracováváno a publikováno na BusinessInfo.cz přes 80 zahraničních poptávek po zboží či službách a více než 100 zahraničních tendrů. Na konci listopadu bude spuštěna nová databáze dostupných formulářů z veřejné s</w:t>
            </w:r>
            <w:r w:rsidR="00AC21A2">
              <w:rPr>
                <w:rFonts w:ascii="Calibri" w:hAnsi="Calibri"/>
                <w:sz w:val="16"/>
                <w:szCs w:val="16"/>
              </w:rPr>
              <w:t xml:space="preserve">právy pro podnikatele čítající </w:t>
            </w:r>
            <w:r w:rsidRPr="00632BA1">
              <w:rPr>
                <w:rFonts w:ascii="Calibri" w:hAnsi="Calibri"/>
                <w:sz w:val="16"/>
                <w:szCs w:val="16"/>
              </w:rPr>
              <w:t xml:space="preserve">přes 1200 formulářů.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Dle vlastního harmonogramu a průběžných ročních plánů</w:t>
            </w:r>
          </w:p>
        </w:tc>
      </w:tr>
      <w:tr w:rsidR="00632BA1" w:rsidRPr="00632BA1" w:rsidTr="00632BA1">
        <w:trPr>
          <w:trHeight w:val="300"/>
        </w:trPr>
        <w:tc>
          <w:tcPr>
            <w:tcW w:w="14879" w:type="dxa"/>
            <w:gridSpan w:val="10"/>
            <w:tcBorders>
              <w:top w:val="single" w:sz="4" w:space="0" w:color="auto"/>
              <w:left w:val="single" w:sz="4" w:space="0" w:color="auto"/>
              <w:bottom w:val="single" w:sz="4" w:space="0" w:color="auto"/>
              <w:right w:val="single" w:sz="4" w:space="0" w:color="000000"/>
            </w:tcBorders>
            <w:shd w:val="clear" w:color="000000" w:fill="FFC000"/>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Přístup k financím</w:t>
            </w:r>
          </w:p>
        </w:tc>
      </w:tr>
      <w:tr w:rsidR="00632BA1" w:rsidRPr="00632BA1" w:rsidTr="00632BA1">
        <w:trPr>
          <w:trHeight w:val="300"/>
        </w:trPr>
        <w:tc>
          <w:tcPr>
            <w:tcW w:w="3820" w:type="dxa"/>
            <w:gridSpan w:val="4"/>
            <w:tcBorders>
              <w:top w:val="single" w:sz="4" w:space="0" w:color="auto"/>
              <w:left w:val="single" w:sz="4" w:space="0" w:color="auto"/>
              <w:bottom w:val="single" w:sz="4" w:space="0" w:color="auto"/>
              <w:right w:val="nil"/>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Finanční nástroje OP PIK a financování inovací</w:t>
            </w:r>
          </w:p>
        </w:tc>
        <w:tc>
          <w:tcPr>
            <w:tcW w:w="995" w:type="dxa"/>
            <w:tcBorders>
              <w:top w:val="nil"/>
              <w:left w:val="nil"/>
              <w:bottom w:val="single" w:sz="4" w:space="0" w:color="auto"/>
              <w:right w:val="nil"/>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 </w:t>
            </w:r>
          </w:p>
        </w:tc>
        <w:tc>
          <w:tcPr>
            <w:tcW w:w="1417" w:type="dxa"/>
            <w:tcBorders>
              <w:top w:val="nil"/>
              <w:left w:val="nil"/>
              <w:bottom w:val="single" w:sz="4" w:space="0" w:color="auto"/>
              <w:right w:val="nil"/>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sz w:val="16"/>
                <w:szCs w:val="16"/>
              </w:rPr>
            </w:pPr>
            <w:r w:rsidRPr="00632BA1">
              <w:rPr>
                <w:rFonts w:ascii="Calibri" w:hAnsi="Calibri"/>
                <w:b/>
                <w:bCs/>
                <w:sz w:val="16"/>
                <w:szCs w:val="16"/>
              </w:rPr>
              <w:t> </w:t>
            </w:r>
          </w:p>
        </w:tc>
        <w:tc>
          <w:tcPr>
            <w:tcW w:w="2552" w:type="dxa"/>
            <w:tcBorders>
              <w:top w:val="nil"/>
              <w:left w:val="nil"/>
              <w:bottom w:val="single" w:sz="4" w:space="0" w:color="auto"/>
              <w:right w:val="nil"/>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 </w:t>
            </w:r>
          </w:p>
        </w:tc>
        <w:tc>
          <w:tcPr>
            <w:tcW w:w="1984" w:type="dxa"/>
            <w:tcBorders>
              <w:top w:val="nil"/>
              <w:left w:val="nil"/>
              <w:bottom w:val="single" w:sz="4" w:space="0" w:color="auto"/>
              <w:right w:val="single" w:sz="4" w:space="0" w:color="auto"/>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 </w:t>
            </w:r>
          </w:p>
        </w:tc>
        <w:tc>
          <w:tcPr>
            <w:tcW w:w="2410" w:type="dxa"/>
            <w:tcBorders>
              <w:top w:val="nil"/>
              <w:left w:val="nil"/>
              <w:bottom w:val="single" w:sz="4" w:space="0" w:color="auto"/>
              <w:right w:val="nil"/>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000000" w:fill="FFFF00"/>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r>
      <w:tr w:rsidR="00632BA1" w:rsidRPr="00632BA1" w:rsidTr="00AC4C3C">
        <w:trPr>
          <w:trHeight w:val="1800"/>
        </w:trPr>
        <w:tc>
          <w:tcPr>
            <w:tcW w:w="343" w:type="dxa"/>
            <w:tcBorders>
              <w:top w:val="nil"/>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27.</w:t>
            </w:r>
          </w:p>
        </w:tc>
        <w:tc>
          <w:tcPr>
            <w:tcW w:w="13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Spolupráce mezi OP PIK a OP Praha – Pól růstu v oblasti podpory podnikatelů prostřednictvím finančních nástrojů</w:t>
            </w:r>
          </w:p>
        </w:tc>
        <w:tc>
          <w:tcPr>
            <w:tcW w:w="115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OP PIK</w:t>
            </w:r>
          </w:p>
        </w:tc>
        <w:tc>
          <w:tcPr>
            <w:tcW w:w="141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Možnost realizace společných fondů rizikového kapitálu/společného fondu fondů</w:t>
            </w:r>
          </w:p>
        </w:tc>
        <w:tc>
          <w:tcPr>
            <w:tcW w:w="2552" w:type="dxa"/>
            <w:tcBorders>
              <w:top w:val="single" w:sz="4" w:space="0" w:color="000000"/>
              <w:left w:val="single" w:sz="4" w:space="0" w:color="000000"/>
              <w:bottom w:val="single" w:sz="4" w:space="0" w:color="000000"/>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Stále ve fázi rozpracování, jinak bude realizováno v rámci NIF</w:t>
            </w:r>
            <w:r w:rsidR="00AC21A2">
              <w:rPr>
                <w:rFonts w:ascii="Calibri" w:hAnsi="Calibri"/>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w:t>
            </w:r>
          </w:p>
        </w:tc>
        <w:tc>
          <w:tcPr>
            <w:tcW w:w="2410" w:type="dxa"/>
            <w:tcBorders>
              <w:top w:val="single" w:sz="4" w:space="0" w:color="000000"/>
              <w:left w:val="nil"/>
              <w:bottom w:val="single" w:sz="4" w:space="0" w:color="000000"/>
              <w:right w:val="single" w:sz="4" w:space="0" w:color="000000"/>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Probíhá komunikace s MHMP</w:t>
            </w:r>
          </w:p>
        </w:tc>
        <w:tc>
          <w:tcPr>
            <w:tcW w:w="1701" w:type="dxa"/>
            <w:tcBorders>
              <w:top w:val="single" w:sz="4" w:space="0" w:color="000000"/>
              <w:left w:val="nil"/>
              <w:bottom w:val="single" w:sz="4" w:space="0" w:color="000000"/>
              <w:right w:val="single" w:sz="4" w:space="0" w:color="000000"/>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r. 2017</w:t>
            </w:r>
          </w:p>
        </w:tc>
      </w:tr>
      <w:tr w:rsidR="00632BA1" w:rsidRPr="00632BA1" w:rsidTr="00AC4C3C">
        <w:trPr>
          <w:trHeight w:val="2700"/>
        </w:trPr>
        <w:tc>
          <w:tcPr>
            <w:tcW w:w="343" w:type="dxa"/>
            <w:tcBorders>
              <w:top w:val="nil"/>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28.</w:t>
            </w:r>
          </w:p>
        </w:tc>
        <w:tc>
          <w:tcPr>
            <w:tcW w:w="13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Aktivní spolupráce na vypracování materiálu „Finanční nástroje jako forma zajištění financování projektů v programovacím období 2014 – 2020“</w:t>
            </w:r>
          </w:p>
        </w:tc>
        <w:tc>
          <w:tcPr>
            <w:tcW w:w="115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02/2015</w:t>
            </w:r>
          </w:p>
        </w:tc>
        <w:tc>
          <w:tcPr>
            <w:tcW w:w="9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9A1F8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w:t>
            </w:r>
            <w:r w:rsidR="009A1F81">
              <w:rPr>
                <w:rFonts w:ascii="Calibri" w:hAnsi="Calibri"/>
                <w:color w:val="000000"/>
                <w:sz w:val="16"/>
                <w:szCs w:val="16"/>
              </w:rPr>
              <w:t>0</w:t>
            </w:r>
            <w:r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N</w:t>
            </w:r>
            <w:r w:rsidR="00632BA1" w:rsidRPr="00632BA1">
              <w:rPr>
                <w:rFonts w:ascii="Calibri" w:hAnsi="Calibri"/>
                <w:color w:val="000000"/>
                <w:sz w:val="16"/>
                <w:szCs w:val="16"/>
              </w:rPr>
              <w:t>evyžaduje se</w:t>
            </w:r>
          </w:p>
        </w:tc>
        <w:tc>
          <w:tcPr>
            <w:tcW w:w="141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Finanční nástroje jako forma zajištění financování projektů v programovacím období 2014 - 2020 - Strategie zapojení ČMZRB do implementace ESIF (část MPO) </w:t>
            </w:r>
          </w:p>
        </w:tc>
        <w:tc>
          <w:tcPr>
            <w:tcW w:w="2552" w:type="dxa"/>
            <w:tcBorders>
              <w:top w:val="nil"/>
              <w:left w:val="nil"/>
              <w:bottom w:val="nil"/>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Cílem je zapojit ČMZRB do implementace FN všech resortů v podobě správce "Fondu fondů"</w:t>
            </w:r>
            <w:r w:rsidR="00AC21A2">
              <w:rPr>
                <w:rFonts w:ascii="Calibri" w:hAnsi="Calibri"/>
                <w:sz w:val="16"/>
                <w:szCs w:val="16"/>
              </w:rPr>
              <w:t>.</w:t>
            </w:r>
          </w:p>
        </w:tc>
        <w:tc>
          <w:tcPr>
            <w:tcW w:w="1984" w:type="dxa"/>
            <w:tcBorders>
              <w:top w:val="nil"/>
              <w:left w:val="single" w:sz="4" w:space="0" w:color="000000"/>
              <w:bottom w:val="single" w:sz="4" w:space="0" w:color="000000"/>
              <w:right w:val="single" w:sz="4" w:space="0" w:color="000000"/>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w:t>
            </w:r>
          </w:p>
        </w:tc>
        <w:tc>
          <w:tcPr>
            <w:tcW w:w="2410" w:type="dxa"/>
            <w:tcBorders>
              <w:top w:val="nil"/>
              <w:left w:val="nil"/>
              <w:bottom w:val="single" w:sz="4" w:space="0" w:color="000000"/>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K materiálu MPO "Aktivizace ČMZRB" proběhlo mezirezortní připomínkové řízení, po dohodě s MF bude "Aktivizace ČMZRB" součástí společného dokumentu MF a MPO "Centralizovaná správa IFN"</w:t>
            </w:r>
            <w:r w:rsidR="00AC21A2">
              <w:rPr>
                <w:rFonts w:ascii="Calibri" w:hAnsi="Calibri"/>
                <w:sz w:val="16"/>
                <w:szCs w:val="16"/>
              </w:rPr>
              <w:t>.</w:t>
            </w:r>
          </w:p>
        </w:tc>
        <w:tc>
          <w:tcPr>
            <w:tcW w:w="1701" w:type="dxa"/>
            <w:tcBorders>
              <w:top w:val="nil"/>
              <w:left w:val="single" w:sz="4" w:space="0" w:color="000000"/>
              <w:bottom w:val="single" w:sz="4" w:space="0" w:color="000000"/>
              <w:right w:val="single" w:sz="4" w:space="0" w:color="000000"/>
            </w:tcBorders>
            <w:shd w:val="clear" w:color="auto" w:fill="FABF8F" w:themeFill="accent6"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r>
      <w:tr w:rsidR="00632BA1" w:rsidRPr="00632BA1" w:rsidTr="00B95236">
        <w:trPr>
          <w:trHeight w:val="1125"/>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29.</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Zpracování předběžné (ex-ante) analýzy využití finančních nástrojů v OP PIK</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09/2015</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TP OPPI</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Zpracovávání ex-ante</w:t>
            </w:r>
          </w:p>
        </w:tc>
        <w:tc>
          <w:tcPr>
            <w:tcW w:w="2552" w:type="dxa"/>
            <w:tcBorders>
              <w:top w:val="single" w:sz="4" w:space="0" w:color="000000"/>
              <w:left w:val="single" w:sz="4" w:space="0" w:color="000000"/>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Předběžné posouzení finan</w:t>
            </w:r>
            <w:r w:rsidR="00AC21A2">
              <w:rPr>
                <w:rFonts w:ascii="Calibri" w:hAnsi="Calibri"/>
                <w:sz w:val="16"/>
                <w:szCs w:val="16"/>
              </w:rPr>
              <w:t>čních nástrojů je nutná podmínkou</w:t>
            </w:r>
            <w:r w:rsidRPr="00632BA1">
              <w:rPr>
                <w:rFonts w:ascii="Calibri" w:hAnsi="Calibri"/>
                <w:sz w:val="16"/>
                <w:szCs w:val="16"/>
              </w:rPr>
              <w:t xml:space="preserve"> implementace FN v OPPIK, odhad využití </w:t>
            </w:r>
            <w:r w:rsidR="00EA1919">
              <w:rPr>
                <w:rFonts w:ascii="Calibri" w:hAnsi="Calibri"/>
                <w:sz w:val="16"/>
                <w:szCs w:val="16"/>
              </w:rPr>
              <w:t>finančních nástrojů (</w:t>
            </w:r>
            <w:r w:rsidRPr="00632BA1">
              <w:rPr>
                <w:rFonts w:ascii="Calibri" w:hAnsi="Calibri"/>
                <w:sz w:val="16"/>
                <w:szCs w:val="16"/>
              </w:rPr>
              <w:t>FN</w:t>
            </w:r>
            <w:r w:rsidR="00EA1919">
              <w:rPr>
                <w:rFonts w:ascii="Calibri" w:hAnsi="Calibri"/>
                <w:sz w:val="16"/>
                <w:szCs w:val="16"/>
              </w:rPr>
              <w:t>)</w:t>
            </w:r>
            <w:r w:rsidRPr="00632BA1">
              <w:rPr>
                <w:rFonts w:ascii="Calibri" w:hAnsi="Calibri"/>
                <w:sz w:val="16"/>
                <w:szCs w:val="16"/>
              </w:rPr>
              <w:t xml:space="preserve"> jako celku 2014-2020</w:t>
            </w:r>
            <w:r w:rsidR="00AC21A2">
              <w:rPr>
                <w:rFonts w:ascii="Calibri" w:hAnsi="Calibri"/>
                <w:sz w:val="16"/>
                <w:szCs w:val="16"/>
              </w:rPr>
              <w:t>.</w:t>
            </w:r>
          </w:p>
        </w:tc>
        <w:tc>
          <w:tcPr>
            <w:tcW w:w="1984" w:type="dxa"/>
            <w:tcBorders>
              <w:top w:val="nil"/>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nil"/>
              <w:left w:val="nil"/>
              <w:bottom w:val="single" w:sz="4" w:space="0" w:color="000000"/>
              <w:right w:val="single" w:sz="4" w:space="0" w:color="000000"/>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Ex-</w:t>
            </w:r>
            <w:r w:rsidR="00632BA1" w:rsidRPr="00632BA1">
              <w:rPr>
                <w:rFonts w:ascii="Calibri" w:hAnsi="Calibri"/>
                <w:sz w:val="16"/>
                <w:szCs w:val="16"/>
              </w:rPr>
              <w:t>ante analýza zpracována, je využita pro studii proveditelnosti Národního inovačního fondu a byla již vzata na vědomí MV OPPIK.</w:t>
            </w:r>
          </w:p>
        </w:tc>
        <w:tc>
          <w:tcPr>
            <w:tcW w:w="1701" w:type="dxa"/>
            <w:tcBorders>
              <w:top w:val="nil"/>
              <w:left w:val="nil"/>
              <w:bottom w:val="single" w:sz="4" w:space="0" w:color="000000"/>
              <w:right w:val="single" w:sz="4" w:space="0" w:color="000000"/>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r>
      <w:tr w:rsidR="00632BA1" w:rsidRPr="00632BA1" w:rsidTr="00B95236">
        <w:trPr>
          <w:trHeight w:val="2700"/>
        </w:trPr>
        <w:tc>
          <w:tcPr>
            <w:tcW w:w="343" w:type="dxa"/>
            <w:tcBorders>
              <w:top w:val="nil"/>
              <w:left w:val="single" w:sz="4" w:space="0" w:color="auto"/>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30.</w:t>
            </w:r>
          </w:p>
        </w:tc>
        <w:tc>
          <w:tcPr>
            <w:tcW w:w="13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výzev programů poskytujících zvýhodněné úvěry a zvýhodněné záruky za úvěry pro MSP s cílem jejich vyhlášení bezprostředně po výsledcích ex-ante analýzy</w:t>
            </w:r>
          </w:p>
        </w:tc>
        <w:tc>
          <w:tcPr>
            <w:tcW w:w="1157"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PO2 OP PIK</w:t>
            </w:r>
          </w:p>
        </w:tc>
        <w:tc>
          <w:tcPr>
            <w:tcW w:w="141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EXPANZE (úvěry a záruky) v rámci PO2</w:t>
            </w:r>
          </w:p>
        </w:tc>
        <w:tc>
          <w:tcPr>
            <w:tcW w:w="2552" w:type="dxa"/>
            <w:tcBorders>
              <w:top w:val="nil"/>
              <w:left w:val="nil"/>
              <w:bottom w:val="single" w:sz="4" w:space="0" w:color="000000"/>
              <w:right w:val="nil"/>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poskytnutím zvýhodněného úvěru s možností odkladu splátek jistiny, záruky za úvěr a finančního příspěvku na úhradu úroků malým a středním podnikatelům.</w:t>
            </w:r>
          </w:p>
        </w:tc>
        <w:tc>
          <w:tcPr>
            <w:tcW w:w="1984" w:type="dxa"/>
            <w:tcBorders>
              <w:top w:val="nil"/>
              <w:left w:val="single" w:sz="4" w:space="0" w:color="000000"/>
              <w:bottom w:val="single" w:sz="4" w:space="0" w:color="000000"/>
              <w:right w:val="single" w:sz="4" w:space="0" w:color="000000"/>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w:t>
            </w:r>
          </w:p>
        </w:tc>
        <w:tc>
          <w:tcPr>
            <w:tcW w:w="2410" w:type="dxa"/>
            <w:tcBorders>
              <w:top w:val="nil"/>
              <w:left w:val="nil"/>
              <w:bottom w:val="single" w:sz="4" w:space="0" w:color="000000"/>
              <w:right w:val="single" w:sz="4" w:space="0" w:color="000000"/>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EXPANZE byl schválen vládou 9. 11. 2015. Probíhá příprava výzev.</w:t>
            </w:r>
          </w:p>
        </w:tc>
        <w:tc>
          <w:tcPr>
            <w:tcW w:w="1701" w:type="dxa"/>
            <w:tcBorders>
              <w:top w:val="nil"/>
              <w:left w:val="nil"/>
              <w:bottom w:val="single" w:sz="4" w:space="0" w:color="000000"/>
              <w:right w:val="single" w:sz="4" w:space="0" w:color="000000"/>
            </w:tcBorders>
            <w:shd w:val="clear" w:color="auto" w:fill="FABF8F" w:themeFill="accent6"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Zahájení příjmu žádostí je naplánováno na 3/2016</w:t>
            </w:r>
          </w:p>
        </w:tc>
      </w:tr>
      <w:tr w:rsidR="00632BA1" w:rsidRPr="00632BA1" w:rsidTr="00B95236">
        <w:trPr>
          <w:trHeight w:val="225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31.</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a vyhlášení výzev dotačních programů podpory směřujících k zavádění inovací v podnicích</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w:t>
            </w:r>
            <w:r w:rsidR="009A1F81">
              <w:rPr>
                <w:rFonts w:ascii="Calibri" w:hAnsi="Calibri"/>
                <w:color w:val="000000"/>
                <w:sz w:val="16"/>
                <w:szCs w:val="16"/>
              </w:rPr>
              <w:t>O 610</w:t>
            </w:r>
            <w:r w:rsidRPr="00632BA1">
              <w:rPr>
                <w:rFonts w:ascii="Calibri" w:hAnsi="Calibri"/>
                <w:color w:val="000000"/>
                <w:sz w:val="16"/>
                <w:szCs w:val="16"/>
              </w:rPr>
              <w:t>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PO1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Inovace v rámci PO1</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Cílem programu INOVACE – Inovační projekt je posílení inovační výkonnosti domácích firem a zvýšení jejich konkurenceschopnosti prostřednictvím zvýšení využívání unikátních know-how z větší či menší části vzniklých ve spolupráci s akademickým a výzkumným sektorem, rozšíření know-how firem pro vlastní inovace, zvýšení efektivnosti interních procesů v oblasti řízení inovací, tak aby došlo k nárůstu počtu firem především místního původu v pozici technologických lídrů, k tvorbě a zavádění nových konkurenceschopných produktů na globální trh a posílení schopností firem v oblasti </w:t>
            </w:r>
            <w:proofErr w:type="spellStart"/>
            <w:r w:rsidRPr="00632BA1">
              <w:rPr>
                <w:rFonts w:ascii="Calibri" w:hAnsi="Calibri"/>
                <w:sz w:val="16"/>
                <w:szCs w:val="16"/>
              </w:rPr>
              <w:t>high</w:t>
            </w:r>
            <w:proofErr w:type="spellEnd"/>
            <w:r w:rsidRPr="00632BA1">
              <w:rPr>
                <w:rFonts w:ascii="Calibri" w:hAnsi="Calibri"/>
                <w:sz w:val="16"/>
                <w:szCs w:val="16"/>
              </w:rPr>
              <w:t>-</w:t>
            </w:r>
            <w:proofErr w:type="spellStart"/>
            <w:r w:rsidRPr="00632BA1">
              <w:rPr>
                <w:rFonts w:ascii="Calibri" w:hAnsi="Calibri"/>
                <w:sz w:val="16"/>
                <w:szCs w:val="16"/>
              </w:rPr>
              <w:t>tech</w:t>
            </w:r>
            <w:proofErr w:type="spellEnd"/>
            <w:r w:rsidRPr="00632BA1">
              <w:rPr>
                <w:rFonts w:ascii="Calibri" w:hAnsi="Calibri"/>
                <w:sz w:val="16"/>
                <w:szCs w:val="16"/>
              </w:rPr>
              <w:t xml:space="preserve"> výroby. Podporovány budou inovace vyšších řádů, konkrétně pak inovace V. řádu a vyšší.</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35268C">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Datum vyhlášení výzvy 29. 5. 2015</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240" w:line="240" w:lineRule="auto"/>
              <w:textAlignment w:val="auto"/>
              <w:rPr>
                <w:rFonts w:ascii="Calibri" w:hAnsi="Calibri"/>
                <w:sz w:val="16"/>
                <w:szCs w:val="16"/>
              </w:rPr>
            </w:pPr>
            <w:r w:rsidRPr="00632BA1">
              <w:rPr>
                <w:rFonts w:ascii="Calibri" w:hAnsi="Calibri"/>
                <w:sz w:val="16"/>
                <w:szCs w:val="16"/>
              </w:rPr>
              <w:t>Datum zahájení příjmu žádostí o podporu: Předběžné žádosti: 2. 6. 2015, plné žádosti: 1. 12. 2015</w:t>
            </w:r>
            <w:r w:rsidRPr="00632BA1">
              <w:rPr>
                <w:rFonts w:ascii="Calibri" w:hAnsi="Calibri"/>
                <w:sz w:val="16"/>
                <w:szCs w:val="16"/>
              </w:rPr>
              <w:br/>
            </w:r>
            <w:r w:rsidRPr="00632BA1">
              <w:rPr>
                <w:rFonts w:ascii="Calibri" w:hAnsi="Calibri"/>
                <w:sz w:val="16"/>
                <w:szCs w:val="16"/>
              </w:rPr>
              <w:br/>
              <w:t>Datum ukončení příjmu žádostí o podporu: Předběžné žádosti:  30. 11. 2015, plné žádosti: 30. 4. 2016</w:t>
            </w:r>
          </w:p>
        </w:tc>
      </w:tr>
      <w:tr w:rsidR="00632BA1" w:rsidRPr="00632BA1" w:rsidTr="00B95236">
        <w:trPr>
          <w:trHeight w:val="180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32.</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Zahájení přípravy projektu </w:t>
            </w:r>
            <w:proofErr w:type="spellStart"/>
            <w:r w:rsidRPr="00632BA1">
              <w:rPr>
                <w:rFonts w:ascii="Calibri" w:hAnsi="Calibri"/>
                <w:color w:val="000000"/>
                <w:sz w:val="16"/>
                <w:szCs w:val="16"/>
              </w:rPr>
              <w:t>Seed</w:t>
            </w:r>
            <w:proofErr w:type="spellEnd"/>
            <w:r w:rsidRPr="00632BA1">
              <w:rPr>
                <w:rFonts w:ascii="Calibri" w:hAnsi="Calibri"/>
                <w:color w:val="000000"/>
                <w:sz w:val="16"/>
                <w:szCs w:val="16"/>
              </w:rPr>
              <w:t xml:space="preserve"> fond – podpora konkrétních projektů MSP prostřednictvím rizikového kapitálu</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PO2 OP PIK</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Rizikový kapitál v rámci PO2</w:t>
            </w:r>
          </w:p>
        </w:tc>
        <w:tc>
          <w:tcPr>
            <w:tcW w:w="2552" w:type="dxa"/>
            <w:tcBorders>
              <w:top w:val="single" w:sz="4" w:space="0" w:color="000000"/>
              <w:left w:val="single" w:sz="4" w:space="0" w:color="000000"/>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poskytování rizikového kapitálu zlepšit přístup malých a středních podnikatelů k financování.</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000000"/>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vypracovalo materiál NIF studie proveditelnosti, který vláda schválila usnesením č. 805 ze dne 12. října 2015. Další kroky do roku budou zejména založení investiční společnosti NIF, podpis dohody se skupinou EIB a následné spuštění programu podpory Rizikový kapitál.</w:t>
            </w:r>
          </w:p>
        </w:tc>
        <w:tc>
          <w:tcPr>
            <w:tcW w:w="1701" w:type="dxa"/>
            <w:tcBorders>
              <w:top w:val="single" w:sz="4" w:space="0" w:color="000000"/>
              <w:left w:val="nil"/>
              <w:bottom w:val="single" w:sz="4" w:space="0" w:color="000000"/>
              <w:right w:val="single" w:sz="4" w:space="0" w:color="000000"/>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r. 2017</w:t>
            </w:r>
          </w:p>
        </w:tc>
      </w:tr>
      <w:tr w:rsidR="00632BA1" w:rsidRPr="00632BA1" w:rsidTr="00B95236">
        <w:trPr>
          <w:trHeight w:val="2475"/>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33.</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Sledování a průběžné vyhodnocování nových forem alternativního financování navrhovaných mezinárodními institucemi (zejména EK a OECD)</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Zvažování využití různých forem financování (</w:t>
            </w:r>
            <w:proofErr w:type="spellStart"/>
            <w:r w:rsidRPr="00632BA1">
              <w:rPr>
                <w:rFonts w:ascii="Calibri" w:hAnsi="Calibri"/>
                <w:sz w:val="16"/>
                <w:szCs w:val="16"/>
              </w:rPr>
              <w:t>crowdfunding</w:t>
            </w:r>
            <w:proofErr w:type="spellEnd"/>
            <w:r w:rsidRPr="00632BA1">
              <w:rPr>
                <w:rFonts w:ascii="Calibri" w:hAnsi="Calibri"/>
                <w:sz w:val="16"/>
                <w:szCs w:val="16"/>
              </w:rPr>
              <w:t>,...)</w:t>
            </w:r>
          </w:p>
        </w:tc>
        <w:tc>
          <w:tcPr>
            <w:tcW w:w="2552" w:type="dxa"/>
            <w:tcBorders>
              <w:top w:val="nil"/>
              <w:left w:val="nil"/>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Informativní aktivity pro návaznost s OPPIK</w:t>
            </w:r>
          </w:p>
        </w:tc>
        <w:tc>
          <w:tcPr>
            <w:tcW w:w="1984" w:type="dxa"/>
            <w:tcBorders>
              <w:top w:val="nil"/>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nil"/>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Monitoring legislativy, návrhů a studií EK, OECD, EVCA atd.</w:t>
            </w:r>
          </w:p>
        </w:tc>
        <w:tc>
          <w:tcPr>
            <w:tcW w:w="1701" w:type="dxa"/>
            <w:tcBorders>
              <w:top w:val="nil"/>
              <w:left w:val="nil"/>
              <w:bottom w:val="single" w:sz="4" w:space="0" w:color="000000"/>
              <w:right w:val="single" w:sz="4" w:space="0" w:color="000000"/>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Průběžně</w:t>
            </w:r>
          </w:p>
        </w:tc>
      </w:tr>
      <w:tr w:rsidR="00632BA1" w:rsidRPr="00632BA1" w:rsidTr="00632BA1">
        <w:trPr>
          <w:trHeight w:val="300"/>
        </w:trPr>
        <w:tc>
          <w:tcPr>
            <w:tcW w:w="14879" w:type="dxa"/>
            <w:gridSpan w:val="10"/>
            <w:tcBorders>
              <w:top w:val="single" w:sz="4" w:space="0" w:color="auto"/>
              <w:left w:val="single" w:sz="4" w:space="0" w:color="auto"/>
              <w:bottom w:val="single" w:sz="4" w:space="0" w:color="auto"/>
              <w:right w:val="single" w:sz="4" w:space="0" w:color="000000"/>
            </w:tcBorders>
            <w:shd w:val="clear" w:color="000000" w:fill="FFFF00"/>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Národní a unijní programy (nástroje mimo OP PIK)</w:t>
            </w:r>
          </w:p>
        </w:tc>
      </w:tr>
      <w:tr w:rsidR="00632BA1" w:rsidRPr="00632BA1" w:rsidTr="001C703D">
        <w:trPr>
          <w:trHeight w:val="1125"/>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34.</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a vyhlášení výzvy Národního program Záruka 2015 až 2023</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rostředky MPO na účtech ČMZRB</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Národní program Záruka 2015-2023</w:t>
            </w:r>
          </w:p>
        </w:tc>
        <w:tc>
          <w:tcPr>
            <w:tcW w:w="2552" w:type="dxa"/>
            <w:tcBorders>
              <w:top w:val="single" w:sz="4" w:space="0" w:color="000000"/>
              <w:left w:val="single" w:sz="4" w:space="0" w:color="000000"/>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poskytnutím záruky malým a středním podnikatelům je podporováno získání bankovního úvěru</w:t>
            </w:r>
            <w:r w:rsidR="00AC21A2">
              <w:rPr>
                <w:rFonts w:ascii="Calibri" w:hAnsi="Calibri"/>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000000"/>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Bylo poskytnuto 2385 záruk v celkovém objemu 5930,10 mil. Kč</w:t>
            </w:r>
          </w:p>
        </w:tc>
        <w:tc>
          <w:tcPr>
            <w:tcW w:w="1701" w:type="dxa"/>
            <w:tcBorders>
              <w:top w:val="single" w:sz="4" w:space="0" w:color="000000"/>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 důvodu vyčerpání finanční kapacity pro rok 2015, byl k 21. 9. 2015 pozastaven příjem žádostí</w:t>
            </w:r>
          </w:p>
        </w:tc>
      </w:tr>
      <w:tr w:rsidR="00632BA1" w:rsidRPr="00632BA1" w:rsidTr="001C703D">
        <w:trPr>
          <w:trHeight w:val="135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35.</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Podpora sociálních podnikatelů prostřednictvím finančních nástrojů</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rostředky MPO na účtech ČMZRB</w:t>
            </w:r>
          </w:p>
        </w:tc>
        <w:tc>
          <w:tcPr>
            <w:tcW w:w="14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Národní program Záruka 2015-2023</w:t>
            </w:r>
          </w:p>
        </w:tc>
        <w:tc>
          <w:tcPr>
            <w:tcW w:w="2552" w:type="dxa"/>
            <w:tcBorders>
              <w:top w:val="nil"/>
              <w:left w:val="nil"/>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poskytnutím záruky s finančním příspěvkem malým a středním podnikatelům je podporováno získání bankovního úvěru</w:t>
            </w:r>
            <w:r w:rsidR="00AC21A2">
              <w:rPr>
                <w:rFonts w:ascii="Calibri" w:hAnsi="Calibri"/>
                <w:sz w:val="16"/>
                <w:szCs w:val="16"/>
              </w:rPr>
              <w:t>.</w:t>
            </w:r>
          </w:p>
        </w:tc>
        <w:tc>
          <w:tcPr>
            <w:tcW w:w="1984" w:type="dxa"/>
            <w:tcBorders>
              <w:top w:val="nil"/>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nil"/>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
        </w:tc>
        <w:tc>
          <w:tcPr>
            <w:tcW w:w="1701" w:type="dxa"/>
            <w:tcBorders>
              <w:top w:val="nil"/>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Z důvodu vyčerpání finanční kapacity pro rok 2015, byl k 21. 9. 2015 pozastaven příjem žádostí</w:t>
            </w:r>
          </w:p>
        </w:tc>
      </w:tr>
      <w:tr w:rsidR="00632BA1" w:rsidRPr="00632BA1" w:rsidTr="001C703D">
        <w:trPr>
          <w:trHeight w:val="225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36.</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Pokračování programu </w:t>
            </w:r>
            <w:proofErr w:type="spellStart"/>
            <w:r w:rsidRPr="00632BA1">
              <w:rPr>
                <w:rFonts w:ascii="Calibri" w:hAnsi="Calibri"/>
                <w:color w:val="000000"/>
                <w:sz w:val="16"/>
                <w:szCs w:val="16"/>
              </w:rPr>
              <w:t>Inostart</w:t>
            </w:r>
            <w:proofErr w:type="spellEnd"/>
            <w:r w:rsidRPr="00632BA1">
              <w:rPr>
                <w:rFonts w:ascii="Calibri" w:hAnsi="Calibri"/>
                <w:color w:val="000000"/>
                <w:sz w:val="16"/>
                <w:szCs w:val="16"/>
              </w:rPr>
              <w:t xml:space="preserve"> (poskytování úvěrů zaručených ČMZRB malým inovačně orientovaným podnikatelům do 3 let existence)</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rogram švýcarsko-české spolupráce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Program </w:t>
            </w:r>
            <w:proofErr w:type="spellStart"/>
            <w:r w:rsidRPr="00632BA1">
              <w:rPr>
                <w:rFonts w:ascii="Calibri" w:hAnsi="Calibri"/>
                <w:sz w:val="16"/>
                <w:szCs w:val="16"/>
              </w:rPr>
              <w:t>Inostart</w:t>
            </w:r>
            <w:proofErr w:type="spellEnd"/>
          </w:p>
        </w:tc>
        <w:tc>
          <w:tcPr>
            <w:tcW w:w="2552" w:type="dxa"/>
            <w:tcBorders>
              <w:top w:val="nil"/>
              <w:left w:val="single" w:sz="4" w:space="0" w:color="000000"/>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poskytnutím záruky inovativním start-up  malým a středním podnikatelům je podporováno získání bankovního úvěru, další podpora je formou poradenství spojeného se strategickým vedením firmy a s přípravou podnikatelského záměru.</w:t>
            </w:r>
          </w:p>
        </w:tc>
        <w:tc>
          <w:tcPr>
            <w:tcW w:w="1984" w:type="dxa"/>
            <w:tcBorders>
              <w:top w:val="nil"/>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nil"/>
              <w:left w:val="nil"/>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Bylo uzavřeno 26 úvěrů v celkové výši 173 226 770 Kč, vytvořeno 141 nových pracovních míst.</w:t>
            </w:r>
          </w:p>
        </w:tc>
        <w:tc>
          <w:tcPr>
            <w:tcW w:w="1701" w:type="dxa"/>
            <w:tcBorders>
              <w:top w:val="nil"/>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Do 31. 12. 2016 v rámci Programu švýcarsko-české spolupráce, potom bude </w:t>
            </w:r>
            <w:r w:rsidR="00211DB7">
              <w:rPr>
                <w:rFonts w:ascii="Calibri" w:hAnsi="Calibri"/>
                <w:sz w:val="16"/>
                <w:szCs w:val="16"/>
              </w:rPr>
              <w:t xml:space="preserve">zřejmě </w:t>
            </w:r>
            <w:r w:rsidRPr="00632BA1">
              <w:rPr>
                <w:rFonts w:ascii="Calibri" w:hAnsi="Calibri"/>
                <w:sz w:val="16"/>
                <w:szCs w:val="16"/>
              </w:rPr>
              <w:t>pokračovat jako národní program</w:t>
            </w:r>
          </w:p>
        </w:tc>
      </w:tr>
      <w:tr w:rsidR="00632BA1" w:rsidRPr="00632BA1" w:rsidTr="001C703D">
        <w:trPr>
          <w:trHeight w:val="1125"/>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37.</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Vyhlášení výzev dle potřeby v rámci národního programu REVIT 2014 až 2020</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MPO 610</w:t>
            </w:r>
            <w:r w:rsidR="00632BA1" w:rsidRPr="00632BA1">
              <w:rPr>
                <w:rFonts w:ascii="Calibri" w:hAnsi="Calibri"/>
                <w:color w:val="000000"/>
                <w:sz w:val="16"/>
                <w:szCs w:val="16"/>
              </w:rPr>
              <w:t>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rostředky MPO na účtech ČMZRB</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Program </w:t>
            </w:r>
            <w:proofErr w:type="spellStart"/>
            <w:r w:rsidRPr="00632BA1">
              <w:rPr>
                <w:rFonts w:ascii="Calibri" w:hAnsi="Calibri"/>
                <w:sz w:val="16"/>
                <w:szCs w:val="16"/>
              </w:rPr>
              <w:t>Revit</w:t>
            </w:r>
            <w:proofErr w:type="spellEnd"/>
            <w:r w:rsidRPr="00632BA1">
              <w:rPr>
                <w:rFonts w:ascii="Calibri" w:hAnsi="Calibri"/>
                <w:sz w:val="16"/>
                <w:szCs w:val="16"/>
              </w:rPr>
              <w:t xml:space="preserve"> </w:t>
            </w:r>
          </w:p>
        </w:tc>
        <w:tc>
          <w:tcPr>
            <w:tcW w:w="2552" w:type="dxa"/>
            <w:tcBorders>
              <w:top w:val="nil"/>
              <w:left w:val="single" w:sz="4" w:space="0" w:color="000000"/>
              <w:bottom w:val="single" w:sz="4" w:space="0" w:color="000000"/>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Formou zvýhodněných úvěrů a finančních příspěvků malým a středním podnikatelům ve strukturálně postižených regionech a v regionech zasažených povodněmi.</w:t>
            </w:r>
          </w:p>
        </w:tc>
        <w:tc>
          <w:tcPr>
            <w:tcW w:w="1984" w:type="dxa"/>
            <w:tcBorders>
              <w:top w:val="nil"/>
              <w:left w:val="single" w:sz="4" w:space="0" w:color="000000"/>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nil"/>
              <w:left w:val="nil"/>
              <w:bottom w:val="single" w:sz="4" w:space="0" w:color="000000"/>
              <w:right w:val="single" w:sz="4" w:space="0" w:color="000000"/>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Bylo poskytnuto 31 úvěrů, celková výše podpory 131,2 mil. Kč, z toho úvěry 119,4 mil. Kč a finanční příspěvky 11,8 mil. Kč.</w:t>
            </w:r>
          </w:p>
        </w:tc>
        <w:tc>
          <w:tcPr>
            <w:tcW w:w="1701" w:type="dxa"/>
            <w:tcBorders>
              <w:top w:val="nil"/>
              <w:left w:val="nil"/>
              <w:bottom w:val="single" w:sz="4" w:space="0" w:color="000000"/>
              <w:right w:val="single" w:sz="4" w:space="0" w:color="000000"/>
            </w:tcBorders>
            <w:shd w:val="clear" w:color="auto" w:fill="C2D69B" w:themeFill="accent3" w:themeFillTint="99"/>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
        </w:tc>
      </w:tr>
      <w:tr w:rsidR="00632BA1" w:rsidRPr="00632BA1" w:rsidTr="001C703D">
        <w:trPr>
          <w:trHeight w:val="2250"/>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38.</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Příprava a vyhlášení výzev programů směřujících k metodické pomoci a efektivnímu zapojení českých MSP do programu COSME</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12/2015</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61000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AC21A2"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Z</w:t>
            </w:r>
            <w:r w:rsidR="00632BA1" w:rsidRPr="00632BA1">
              <w:rPr>
                <w:rFonts w:ascii="Calibri" w:hAnsi="Calibri"/>
                <w:sz w:val="16"/>
                <w:szCs w:val="16"/>
              </w:rPr>
              <w:t>droje programu COSME, národní zdroje</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Síť EEN (40% financováno MPO)</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Formou poskytování odborných služeb zaměřených na podporu a zvyšování konkurenceschopnosti především malých a středních podniků. Aktivity sítě se orientují na individuální poradenství pro firmy, odborné semináře, konference, zajištění účasti firem na mezinárodních obchodních burzách, zprostředkování kontaktů ze speciální mezinárodní databáze a vydávání odborně zaměřených publikací o podnikání v EU.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9A1F81" w:rsidRDefault="009A1F81"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Ano</w:t>
            </w:r>
            <w:r w:rsidR="00154E92">
              <w:rPr>
                <w:rFonts w:ascii="Calibri" w:hAnsi="Calibri"/>
                <w:color w:val="000000"/>
                <w:sz w:val="16"/>
                <w:szCs w:val="16"/>
              </w:rPr>
              <w:t xml:space="preserve"> - </w:t>
            </w:r>
            <w:r w:rsidR="0039705A">
              <w:rPr>
                <w:rFonts w:ascii="Calibri" w:hAnsi="Calibri"/>
                <w:color w:val="000000"/>
                <w:sz w:val="16"/>
                <w:szCs w:val="16"/>
              </w:rPr>
              <w:t>MP</w:t>
            </w:r>
            <w:r w:rsidR="00154E92">
              <w:rPr>
                <w:rFonts w:ascii="Calibri" w:hAnsi="Calibri"/>
                <w:color w:val="000000"/>
                <w:sz w:val="16"/>
                <w:szCs w:val="16"/>
              </w:rPr>
              <w:t>O finančně podpoří síť EEN v ČR</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9A1F81" w:rsidRDefault="0039705A" w:rsidP="0039705A">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9A1F81">
              <w:rPr>
                <w:rFonts w:ascii="Calibri" w:hAnsi="Calibri"/>
                <w:color w:val="000000"/>
                <w:sz w:val="16"/>
                <w:szCs w:val="16"/>
              </w:rPr>
              <w:t xml:space="preserve">ředpokládaná výše dotace je pro období dvou kalendářních let ve výši 37,5 mil. Kč.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9A1F81" w:rsidRDefault="00632BA1" w:rsidP="00CC75F7">
            <w:pPr>
              <w:overflowPunct/>
              <w:autoSpaceDE/>
              <w:autoSpaceDN/>
              <w:adjustRightInd/>
              <w:spacing w:after="0" w:line="240" w:lineRule="auto"/>
              <w:textAlignment w:val="auto"/>
              <w:rPr>
                <w:rFonts w:ascii="Calibri" w:hAnsi="Calibri"/>
                <w:color w:val="000000"/>
                <w:sz w:val="16"/>
                <w:szCs w:val="16"/>
              </w:rPr>
            </w:pPr>
          </w:p>
        </w:tc>
      </w:tr>
      <w:tr w:rsidR="00632BA1" w:rsidRPr="00632BA1" w:rsidTr="001C703D">
        <w:trPr>
          <w:trHeight w:val="1800"/>
        </w:trPr>
        <w:tc>
          <w:tcPr>
            <w:tcW w:w="343" w:type="dxa"/>
            <w:tcBorders>
              <w:top w:val="nil"/>
              <w:left w:val="single" w:sz="4" w:space="0" w:color="auto"/>
              <w:bottom w:val="nil"/>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39.</w:t>
            </w:r>
          </w:p>
        </w:tc>
        <w:tc>
          <w:tcPr>
            <w:tcW w:w="1360" w:type="dxa"/>
            <w:tcBorders>
              <w:top w:val="nil"/>
              <w:left w:val="nil"/>
              <w:bottom w:val="nil"/>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Poskytování poradenství při zapojování MSP do programu COSME, propagace a facilitace programu</w:t>
            </w:r>
          </w:p>
        </w:tc>
        <w:tc>
          <w:tcPr>
            <w:tcW w:w="1157" w:type="dxa"/>
            <w:tcBorders>
              <w:top w:val="nil"/>
              <w:left w:val="nil"/>
              <w:bottom w:val="nil"/>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nil"/>
              <w:left w:val="nil"/>
              <w:bottom w:val="nil"/>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EEN (TCAV)</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Z</w:t>
            </w:r>
            <w:r w:rsidR="00632BA1" w:rsidRPr="00632BA1">
              <w:rPr>
                <w:rFonts w:ascii="Calibri" w:hAnsi="Calibri"/>
                <w:color w:val="000000"/>
                <w:sz w:val="16"/>
                <w:szCs w:val="16"/>
              </w:rPr>
              <w:t>droje programu COSME, národní zdroje</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c>
          <w:tcPr>
            <w:tcW w:w="2552"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Síť EEN (i nadále kofinancováno MPO) - Formou poskytování odborných služeb zaměřených na podporu a zvyšování konkurenceschopnosti především MSP. Aktivity sítě se orientují na individuální poradenství pro firmy, odborné semináře, konference, zajištění účasti firem na mezinárodních obchodních burzách, zprostředkování kontaktů ze speciální mezinárodní databáze a vydávání odborně zaměřených publikací o podnikání v EU.</w:t>
            </w:r>
          </w:p>
        </w:tc>
        <w:tc>
          <w:tcPr>
            <w:tcW w:w="1984" w:type="dxa"/>
            <w:tcBorders>
              <w:top w:val="nil"/>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Ano</w:t>
            </w:r>
          </w:p>
        </w:tc>
        <w:tc>
          <w:tcPr>
            <w:tcW w:w="241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F0271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Viz opatření 38.</w:t>
            </w:r>
          </w:p>
        </w:tc>
        <w:tc>
          <w:tcPr>
            <w:tcW w:w="1701" w:type="dxa"/>
            <w:tcBorders>
              <w:top w:val="nil"/>
              <w:left w:val="nil"/>
              <w:bottom w:val="single" w:sz="4" w:space="0" w:color="auto"/>
              <w:right w:val="single" w:sz="4" w:space="0" w:color="auto"/>
            </w:tcBorders>
            <w:shd w:val="clear" w:color="auto" w:fill="C2D69B" w:themeFill="accent3" w:themeFillTint="99"/>
            <w:noWrap/>
            <w:vAlign w:val="bottom"/>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r>
      <w:tr w:rsidR="00632BA1" w:rsidRPr="00632BA1" w:rsidTr="001C703D">
        <w:trPr>
          <w:trHeight w:val="300"/>
        </w:trPr>
        <w:tc>
          <w:tcPr>
            <w:tcW w:w="14879" w:type="dxa"/>
            <w:gridSpan w:val="10"/>
            <w:tcBorders>
              <w:top w:val="single" w:sz="4" w:space="0" w:color="auto"/>
              <w:left w:val="single" w:sz="4" w:space="0" w:color="auto"/>
              <w:right w:val="single" w:sz="4" w:space="0" w:color="000000"/>
            </w:tcBorders>
            <w:shd w:val="clear" w:color="000000" w:fill="FFC000"/>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 xml:space="preserve">Internacionalizace podnikání MSP </w:t>
            </w:r>
          </w:p>
        </w:tc>
      </w:tr>
      <w:tr w:rsidR="00632BA1" w:rsidRPr="00632BA1" w:rsidTr="001C703D">
        <w:trPr>
          <w:trHeight w:val="2475"/>
        </w:trPr>
        <w:tc>
          <w:tcPr>
            <w:tcW w:w="343"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40.</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Podpora internacionalizace MSP jejich zapojováním do mezinárodních programů, jako např. v oblasti výzkumné spolupráce (Horizont 2020, COSME)</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Dle harmonogramu COSME, Horizont 2020 a OP PIK</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MPO 61000</w:t>
            </w:r>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OP PIK</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Příprava projektu v rámci programu Marketing PO2 OP PIK</w:t>
            </w:r>
          </w:p>
        </w:tc>
        <w:tc>
          <w:tcPr>
            <w:tcW w:w="2552" w:type="dxa"/>
            <w:tcBorders>
              <w:top w:val="nil"/>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Bude naplňováno prostřednictvím sítě EEN. V rámci programu Marketing jsou služby podporující zapojování MSP do mezinárodních programů, jako např. v oblasti výzkumné spolupráce (Horizont 2020, COSME), jednou z podporovaných aktivit.</w:t>
            </w:r>
          </w:p>
        </w:tc>
        <w:tc>
          <w:tcPr>
            <w:tcW w:w="1984" w:type="dxa"/>
            <w:tcBorders>
              <w:top w:val="nil"/>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Předpokládaná výše dotace je pro období dvou kalendářních let ve výši 37,5 mil. Kč. </w:t>
            </w:r>
          </w:p>
        </w:tc>
        <w:tc>
          <w:tcPr>
            <w:tcW w:w="1701" w:type="dxa"/>
            <w:tcBorders>
              <w:top w:val="nil"/>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r>
      <w:tr w:rsidR="00632BA1" w:rsidRPr="00632BA1" w:rsidTr="00B21CA7">
        <w:trPr>
          <w:trHeight w:val="15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41.</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a vyhlášení výzev programů podpory směřujících k internacionalizaci MSP</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PO2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Program Marketing (individuální účasti MSP na veletrzích a výstavách, interní projekt </w:t>
            </w:r>
            <w:proofErr w:type="spellStart"/>
            <w:r w:rsidRPr="00632BA1">
              <w:rPr>
                <w:rFonts w:ascii="Calibri" w:hAnsi="Calibri"/>
                <w:sz w:val="16"/>
                <w:szCs w:val="16"/>
              </w:rPr>
              <w:t>CzechTrade</w:t>
            </w:r>
            <w:proofErr w:type="spellEnd"/>
            <w:r w:rsidRPr="00632BA1">
              <w:rPr>
                <w:rFonts w:ascii="Calibri" w:hAnsi="Calibri"/>
                <w:sz w:val="16"/>
                <w:szCs w:val="16"/>
              </w:rPr>
              <w:t xml:space="preserve"> - SVV, Design, interní projekt CI Internacionalizace MSP)</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Cílem programu „Marketing“ je posílení růstových motivací MSP, jejich schopnosti a marketingové připravenosti nacházet nové trhy mimo ČR (územně i produktově), vstupovat na ně a udržet se na nich. S tím souvisí zvýšená schopnost mezinárodní expanze, rozšiřování exportní působnosti, výrobních a prodejních aktivit.</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D2278F">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Vyhlášení 29. 5. 2015.</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w:t>
            </w:r>
          </w:p>
        </w:tc>
      </w:tr>
      <w:tr w:rsidR="00632BA1" w:rsidRPr="00632BA1" w:rsidTr="00B21CA7">
        <w:trPr>
          <w:trHeight w:val="3375"/>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42.</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Podpora sdružování MSP do konsorcií a klastrů, vytvoření </w:t>
            </w:r>
            <w:proofErr w:type="spellStart"/>
            <w:r w:rsidRPr="00632BA1">
              <w:rPr>
                <w:rFonts w:ascii="Calibri" w:hAnsi="Calibri"/>
                <w:color w:val="000000"/>
                <w:sz w:val="16"/>
                <w:szCs w:val="16"/>
              </w:rPr>
              <w:t>one</w:t>
            </w:r>
            <w:proofErr w:type="spellEnd"/>
            <w:r w:rsidRPr="00632BA1">
              <w:rPr>
                <w:rFonts w:ascii="Calibri" w:hAnsi="Calibri"/>
                <w:color w:val="000000"/>
                <w:sz w:val="16"/>
                <w:szCs w:val="16"/>
              </w:rPr>
              <w:t>-stop-</w:t>
            </w:r>
            <w:proofErr w:type="spellStart"/>
            <w:r w:rsidRPr="00632BA1">
              <w:rPr>
                <w:rFonts w:ascii="Calibri" w:hAnsi="Calibri"/>
                <w:color w:val="000000"/>
                <w:sz w:val="16"/>
                <w:szCs w:val="16"/>
              </w:rPr>
              <w:t>shopu</w:t>
            </w:r>
            <w:proofErr w:type="spellEnd"/>
            <w:r w:rsidRPr="00632BA1">
              <w:rPr>
                <w:rFonts w:ascii="Calibri" w:hAnsi="Calibri"/>
                <w:color w:val="000000"/>
                <w:sz w:val="16"/>
                <w:szCs w:val="16"/>
              </w:rPr>
              <w:t xml:space="preserve"> pro vývoz, rozvoj služeb Klientského centra pro podnikatele</w:t>
            </w:r>
          </w:p>
        </w:tc>
        <w:tc>
          <w:tcPr>
            <w:tcW w:w="11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06/2015</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51000</w:t>
            </w:r>
          </w:p>
        </w:tc>
        <w:tc>
          <w:tcPr>
            <w:tcW w:w="9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 xml:space="preserve">nitřní zdroje </w:t>
            </w:r>
            <w:proofErr w:type="spellStart"/>
            <w:r w:rsidR="00632BA1" w:rsidRPr="00632BA1">
              <w:rPr>
                <w:rFonts w:ascii="Calibri" w:hAnsi="Calibri"/>
                <w:color w:val="000000"/>
                <w:sz w:val="16"/>
                <w:szCs w:val="16"/>
              </w:rPr>
              <w:t>CzechTrade</w:t>
            </w:r>
            <w:proofErr w:type="spellEnd"/>
            <w:r w:rsidR="00632BA1" w:rsidRPr="00632BA1">
              <w:rPr>
                <w:rFonts w:ascii="Calibri" w:hAnsi="Calibri"/>
                <w:color w:val="000000"/>
                <w:sz w:val="16"/>
                <w:szCs w:val="16"/>
              </w:rPr>
              <w:t>, národní zdroje</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Projektový tým ES pro sdružování MSP v součinnosti s NCA a dalšími institucemi  - např. krajskými úřady. </w:t>
            </w:r>
            <w:proofErr w:type="spellStart"/>
            <w:r w:rsidRPr="00632BA1">
              <w:rPr>
                <w:rFonts w:ascii="Calibri" w:hAnsi="Calibri"/>
                <w:sz w:val="16"/>
                <w:szCs w:val="16"/>
              </w:rPr>
              <w:t>One</w:t>
            </w:r>
            <w:proofErr w:type="spellEnd"/>
            <w:r w:rsidRPr="00632BA1">
              <w:rPr>
                <w:rFonts w:ascii="Calibri" w:hAnsi="Calibri"/>
                <w:sz w:val="16"/>
                <w:szCs w:val="16"/>
              </w:rPr>
              <w:t xml:space="preserve"> stop </w:t>
            </w:r>
            <w:proofErr w:type="spellStart"/>
            <w:r w:rsidRPr="00632BA1">
              <w:rPr>
                <w:rFonts w:ascii="Calibri" w:hAnsi="Calibri"/>
                <w:sz w:val="16"/>
                <w:szCs w:val="16"/>
              </w:rPr>
              <w:t>shop</w:t>
            </w:r>
            <w:proofErr w:type="spellEnd"/>
            <w:r w:rsidRPr="00632BA1">
              <w:rPr>
                <w:rFonts w:ascii="Calibri" w:hAnsi="Calibri"/>
                <w:sz w:val="16"/>
                <w:szCs w:val="16"/>
              </w:rPr>
              <w:t xml:space="preserve"> probíhá na základě dohod resortů, agentur a podnikatelských reprezentací - HK.   Klientské centrum při agentuře </w:t>
            </w:r>
            <w:proofErr w:type="spellStart"/>
            <w:r w:rsidRPr="00632BA1">
              <w:rPr>
                <w:rFonts w:ascii="Calibri" w:hAnsi="Calibri"/>
                <w:sz w:val="16"/>
                <w:szCs w:val="16"/>
              </w:rPr>
              <w:t>CzechTrade</w:t>
            </w:r>
            <w:proofErr w:type="spellEnd"/>
            <w:r w:rsidRPr="00632BA1">
              <w:rPr>
                <w:rFonts w:ascii="Calibri" w:hAnsi="Calibri"/>
                <w:sz w:val="16"/>
                <w:szCs w:val="16"/>
              </w:rPr>
              <w:t xml:space="preserve"> na základě dohod MPO, MZV a CT</w:t>
            </w:r>
          </w:p>
        </w:tc>
        <w:tc>
          <w:tcPr>
            <w:tcW w:w="2552" w:type="dxa"/>
            <w:tcBorders>
              <w:top w:val="single" w:sz="4" w:space="0" w:color="auto"/>
              <w:left w:val="single" w:sz="4" w:space="0" w:color="auto"/>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Podpora klastrů a aliancí probíhá kontinuálně a je také obdobně prezentována v celostátních i lokálních /krajských/ médiích, podobně i na internetu (web MPO, krajů), podobně </w:t>
            </w:r>
            <w:proofErr w:type="spellStart"/>
            <w:r w:rsidRPr="00632BA1">
              <w:rPr>
                <w:rFonts w:ascii="Calibri" w:hAnsi="Calibri"/>
                <w:sz w:val="16"/>
                <w:szCs w:val="16"/>
              </w:rPr>
              <w:t>One</w:t>
            </w:r>
            <w:proofErr w:type="spellEnd"/>
            <w:r w:rsidRPr="00632BA1">
              <w:rPr>
                <w:rFonts w:ascii="Calibri" w:hAnsi="Calibri"/>
                <w:sz w:val="16"/>
                <w:szCs w:val="16"/>
              </w:rPr>
              <w:t xml:space="preserve"> - stop- </w:t>
            </w:r>
            <w:proofErr w:type="spellStart"/>
            <w:r w:rsidRPr="00632BA1">
              <w:rPr>
                <w:rFonts w:ascii="Calibri" w:hAnsi="Calibri"/>
                <w:sz w:val="16"/>
                <w:szCs w:val="16"/>
              </w:rPr>
              <w:t>shop</w:t>
            </w:r>
            <w:proofErr w:type="spellEnd"/>
            <w:r w:rsidRPr="00632BA1">
              <w:rPr>
                <w:rFonts w:ascii="Calibri" w:hAnsi="Calibri"/>
                <w:sz w:val="16"/>
                <w:szCs w:val="16"/>
              </w:rPr>
              <w:t xml:space="preserve">.  Klientské centrum MPO, MZV a </w:t>
            </w:r>
            <w:proofErr w:type="spellStart"/>
            <w:r w:rsidRPr="00632BA1">
              <w:rPr>
                <w:rFonts w:ascii="Calibri" w:hAnsi="Calibri"/>
                <w:sz w:val="16"/>
                <w:szCs w:val="16"/>
              </w:rPr>
              <w:t>CzechTrade</w:t>
            </w:r>
            <w:proofErr w:type="spellEnd"/>
            <w:r w:rsidRPr="00632BA1">
              <w:rPr>
                <w:rFonts w:ascii="Calibri" w:hAnsi="Calibri"/>
                <w:sz w:val="16"/>
                <w:szCs w:val="16"/>
              </w:rPr>
              <w:t xml:space="preserve"> je prezentováno jako samostatný projekt spolupráce institucí a dále na BI a v dalších komunikačních nástrojích.</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Ano - jednotlivé formáty podpory MSP v rozvoji exportní výkonnosti firem jsou dlouhodobě funkční a postupně rozvíjí své kapacity </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Celkem v ČR je formálně založeno cca 100 aliancí a klastrů a jiných forem podnikatelských sdružení MSP orientovaných mj. i na vývoz</w:t>
            </w:r>
            <w:r w:rsidR="00956E53">
              <w:rPr>
                <w:rFonts w:ascii="Calibri" w:hAnsi="Calibri"/>
                <w:sz w:val="16"/>
                <w:szCs w:val="16"/>
              </w:rPr>
              <w:t xml:space="preserve"> </w:t>
            </w:r>
            <w:r w:rsidRPr="00632BA1">
              <w:rPr>
                <w:rFonts w:ascii="Calibri" w:hAnsi="Calibri"/>
                <w:sz w:val="16"/>
                <w:szCs w:val="16"/>
              </w:rPr>
              <w:t xml:space="preserve">a z toho asi 50% je funkčních. V různých fázích vzniku a příprav je asi 20 dalších sdružení firem. Projekt </w:t>
            </w:r>
            <w:proofErr w:type="spellStart"/>
            <w:r w:rsidRPr="00632BA1">
              <w:rPr>
                <w:rFonts w:ascii="Calibri" w:hAnsi="Calibri"/>
                <w:sz w:val="16"/>
                <w:szCs w:val="16"/>
              </w:rPr>
              <w:t>One</w:t>
            </w:r>
            <w:proofErr w:type="spellEnd"/>
            <w:r w:rsidRPr="00632BA1">
              <w:rPr>
                <w:rFonts w:ascii="Calibri" w:hAnsi="Calibri"/>
                <w:sz w:val="16"/>
                <w:szCs w:val="16"/>
              </w:rPr>
              <w:t xml:space="preserve"> - stop </w:t>
            </w:r>
            <w:proofErr w:type="spellStart"/>
            <w:r w:rsidRPr="00632BA1">
              <w:rPr>
                <w:rFonts w:ascii="Calibri" w:hAnsi="Calibri"/>
                <w:sz w:val="16"/>
                <w:szCs w:val="16"/>
              </w:rPr>
              <w:t>shop</w:t>
            </w:r>
            <w:proofErr w:type="spellEnd"/>
            <w:r w:rsidRPr="00632BA1">
              <w:rPr>
                <w:rFonts w:ascii="Calibri" w:hAnsi="Calibri"/>
                <w:sz w:val="16"/>
                <w:szCs w:val="16"/>
              </w:rPr>
              <w:t xml:space="preserve"> je dále rozvíjen ve vazbě na organizační uspořádání front a </w:t>
            </w:r>
            <w:proofErr w:type="spellStart"/>
            <w:r w:rsidRPr="00632BA1">
              <w:rPr>
                <w:rFonts w:ascii="Calibri" w:hAnsi="Calibri"/>
                <w:sz w:val="16"/>
                <w:szCs w:val="16"/>
              </w:rPr>
              <w:t>back</w:t>
            </w:r>
            <w:proofErr w:type="spellEnd"/>
            <w:r w:rsidRPr="00632BA1">
              <w:rPr>
                <w:rFonts w:ascii="Calibri" w:hAnsi="Calibri"/>
                <w:sz w:val="16"/>
                <w:szCs w:val="16"/>
              </w:rPr>
              <w:t xml:space="preserve">-office systému podpory exportu a dle aktualizace Exportní strategie. Klientské centrum (MPO, MZV a </w:t>
            </w:r>
            <w:proofErr w:type="spellStart"/>
            <w:r w:rsidRPr="00632BA1">
              <w:rPr>
                <w:rFonts w:ascii="Calibri" w:hAnsi="Calibri"/>
                <w:sz w:val="16"/>
                <w:szCs w:val="16"/>
              </w:rPr>
              <w:t>CzechTrade</w:t>
            </w:r>
            <w:proofErr w:type="spellEnd"/>
            <w:r w:rsidRPr="00632BA1">
              <w:rPr>
                <w:rFonts w:ascii="Calibri" w:hAnsi="Calibri"/>
                <w:sz w:val="16"/>
                <w:szCs w:val="16"/>
              </w:rPr>
              <w:t>) bylo založeno koncem r. 2014 a úspěšně rozvíjí svou úlohu jednotného poskytovatele proexportních služeb dominantně pro segment MSP</w:t>
            </w:r>
            <w:r w:rsidR="00154E92">
              <w:rPr>
                <w:rFonts w:ascii="Calibri" w:hAnsi="Calibri"/>
                <w:sz w:val="16"/>
                <w:szCs w:val="16"/>
              </w:rPr>
              <w:t>.</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2020 - dle platnosti Exportní strategie vlády ČR s předpokladem dalšího postupu a pokračování dle aktualizací a nových formátů podpory exportu pro MSP</w:t>
            </w:r>
          </w:p>
        </w:tc>
      </w:tr>
      <w:tr w:rsidR="00632BA1" w:rsidRPr="00632BA1" w:rsidTr="00B21CA7">
        <w:trPr>
          <w:trHeight w:val="360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43.</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Zavedení resp. rozšíření vhodných forem exportního financování a pojištění pro MSP</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6/2015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MPO 51000 </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N</w:t>
            </w:r>
            <w:r w:rsidR="00632BA1" w:rsidRPr="00632BA1">
              <w:rPr>
                <w:rFonts w:ascii="Calibri" w:hAnsi="Calibri"/>
                <w:color w:val="000000"/>
                <w:sz w:val="16"/>
                <w:szCs w:val="16"/>
              </w:rPr>
              <w:t xml:space="preserve">árodní </w:t>
            </w:r>
            <w:r w:rsidR="00956E53" w:rsidRPr="00632BA1">
              <w:rPr>
                <w:rFonts w:ascii="Calibri" w:hAnsi="Calibri"/>
                <w:color w:val="000000"/>
                <w:sz w:val="16"/>
                <w:szCs w:val="16"/>
              </w:rPr>
              <w:t>zdroje</w:t>
            </w:r>
            <w:r w:rsidR="00632BA1" w:rsidRPr="00632BA1">
              <w:rPr>
                <w:rFonts w:ascii="Calibri" w:hAnsi="Calibri"/>
                <w:color w:val="000000"/>
                <w:sz w:val="16"/>
                <w:szCs w:val="16"/>
              </w:rPr>
              <w:t>, vnitřní zdroje ČEB, EGAP a dále subjektů spolupráce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Z</w:t>
            </w:r>
            <w:r w:rsidR="00632BA1" w:rsidRPr="00632BA1">
              <w:rPr>
                <w:rFonts w:ascii="Calibri" w:hAnsi="Calibri"/>
                <w:sz w:val="16"/>
                <w:szCs w:val="16"/>
              </w:rPr>
              <w:t>výhodněné úvěry na profinancování kontraktu a k jejich zajištění využívají bankovní záruky ČEB  financováním přes faktoringové společnosti</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V</w:t>
            </w:r>
            <w:r w:rsidR="00632BA1" w:rsidRPr="00632BA1">
              <w:rPr>
                <w:rFonts w:ascii="Calibri" w:hAnsi="Calibri"/>
                <w:sz w:val="16"/>
                <w:szCs w:val="16"/>
              </w:rPr>
              <w:t>lastní komunikací - pobočky a web…, informační semináře v krajích apod., spoluprací s pobočkovou sítí ČMZRB, HKČR a SP ČR</w:t>
            </w:r>
            <w:r>
              <w:rPr>
                <w:rFonts w:ascii="Calibri" w:hAnsi="Calibri"/>
                <w:sz w:val="16"/>
                <w:szCs w:val="16"/>
              </w:rPr>
              <w:t>.</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Ano              </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Komerční banky poskytují subdodavatelům exportérů ze segmentu MSP zvýhodněné úvěry na profinancování kontraktu a k jejich zajištění využívají bankovní záruky ČEB (realizováno na základě uzavřených dohod o vzájemné spolupráci mezi komerčními bankami a ČEB). ČEB rovněž optimalizuje své marketingové kanály směrem k MSP spoluprací s pobočkovou sítí ČMZRB, HKČR a SP ČR. EGAP na podzim 2015 vybere 1 až 2 komerční banky, jejichž personál proškolí tak, aby byly MSP lépe informovány o nabídce EGAP. Zvyšování podílu MSP na portfoliu ČEB i EGAP je dlouhodobým záměrem představenstev obou společností</w:t>
            </w:r>
            <w:r w:rsidR="00154E92">
              <w:rPr>
                <w:rFonts w:ascii="Calibri" w:hAnsi="Calibri"/>
                <w:sz w:val="16"/>
                <w:szCs w:val="16"/>
              </w:rPr>
              <w:t>.</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2020 - dle platnosti Exportní strategie vlády ČR s předpokladem dalšího postupu a pokračování dle aktualizací a nových formátů podpory exportu pro MSP</w:t>
            </w:r>
          </w:p>
        </w:tc>
      </w:tr>
      <w:tr w:rsidR="00632BA1" w:rsidRPr="00632BA1" w:rsidTr="00B21CA7">
        <w:trPr>
          <w:trHeight w:val="90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44.</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Poskytování záruky za veřejné zakázky v zahraničí</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sz w:val="16"/>
                <w:szCs w:val="16"/>
              </w:rPr>
            </w:pPr>
            <w:r>
              <w:rPr>
                <w:rFonts w:ascii="Calibri" w:hAnsi="Calibri"/>
                <w:sz w:val="16"/>
                <w:szCs w:val="16"/>
              </w:rPr>
              <w:t>P</w:t>
            </w:r>
            <w:r w:rsidR="00632BA1" w:rsidRPr="00632BA1">
              <w:rPr>
                <w:rFonts w:ascii="Calibri" w:hAnsi="Calibri"/>
                <w:sz w:val="16"/>
                <w:szCs w:val="16"/>
              </w:rPr>
              <w:t>růběžně</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ČEB</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w:t>
            </w:r>
          </w:p>
        </w:tc>
      </w:tr>
      <w:tr w:rsidR="00632BA1" w:rsidRPr="00632BA1" w:rsidTr="00B21CA7">
        <w:trPr>
          <w:trHeight w:val="2693"/>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45.</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Podpora MSP při získávání zakázek od nadnárodních společností a přicházejících investorů (mj. pořádání dodavatelských fór, databáze dodavatelů a analytické interpretace tržních informací)</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P</w:t>
            </w:r>
            <w:r w:rsidR="00632BA1" w:rsidRPr="00632BA1">
              <w:rPr>
                <w:rFonts w:ascii="Calibri" w:hAnsi="Calibri"/>
                <w:color w:val="000000"/>
                <w:sz w:val="16"/>
                <w:szCs w:val="16"/>
              </w:rPr>
              <w:t>růběžně</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roofErr w:type="spellStart"/>
            <w:r w:rsidRPr="00632BA1">
              <w:rPr>
                <w:rFonts w:ascii="Calibri" w:hAnsi="Calibri"/>
                <w:color w:val="000000"/>
                <w:sz w:val="16"/>
                <w:szCs w:val="16"/>
              </w:rPr>
              <w:t>CzechInvest</w:t>
            </w:r>
            <w:proofErr w:type="spellEnd"/>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V</w:t>
            </w:r>
            <w:r w:rsidR="00632BA1" w:rsidRPr="00632BA1">
              <w:rPr>
                <w:rFonts w:ascii="Calibri" w:hAnsi="Calibri"/>
                <w:color w:val="000000"/>
                <w:sz w:val="16"/>
                <w:szCs w:val="16"/>
              </w:rPr>
              <w:t>nitřní zdroje</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proofErr w:type="spellStart"/>
            <w:r w:rsidRPr="00632BA1">
              <w:rPr>
                <w:rFonts w:ascii="Calibri" w:hAnsi="Calibri"/>
                <w:sz w:val="16"/>
                <w:szCs w:val="16"/>
              </w:rPr>
              <w:t>CzechInvest</w:t>
            </w:r>
            <w:proofErr w:type="spellEnd"/>
            <w:r w:rsidRPr="00632BA1">
              <w:rPr>
                <w:rFonts w:ascii="Calibri" w:hAnsi="Calibri"/>
                <w:sz w:val="16"/>
                <w:szCs w:val="16"/>
              </w:rPr>
              <w:br/>
              <w:t>Síť EEN (45% financováno MPO)</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Informační a organizační podpora místních společností při získávání zakázek od nadnárodních společností.</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1. 2. 2015 Uvedena nová verze Sektorové databáze dodavatelů. Databáze je přístupná na adrese: suppliers.czechinvest.org. Kromě standardního vyhledávání dodavatelů "na míru" pro své zahraniční klienty, CI pořádá dodavatelská </w:t>
            </w:r>
            <w:r w:rsidR="00956E53" w:rsidRPr="00632BA1">
              <w:rPr>
                <w:rFonts w:ascii="Calibri" w:hAnsi="Calibri"/>
                <w:sz w:val="16"/>
                <w:szCs w:val="16"/>
              </w:rPr>
              <w:t>fóra (např. pro</w:t>
            </w:r>
            <w:r w:rsidRPr="00632BA1">
              <w:rPr>
                <w:rFonts w:ascii="Calibri" w:hAnsi="Calibri"/>
                <w:sz w:val="16"/>
                <w:szCs w:val="16"/>
              </w:rPr>
              <w:t xml:space="preserve"> japonské společnosti pořádané ve spolupráci s JETRO Praha dne 16. 9. v Brně)</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Neustále</w:t>
            </w:r>
          </w:p>
        </w:tc>
      </w:tr>
      <w:tr w:rsidR="00632BA1" w:rsidRPr="00632BA1" w:rsidTr="00632BA1">
        <w:trPr>
          <w:trHeight w:val="300"/>
        </w:trPr>
        <w:tc>
          <w:tcPr>
            <w:tcW w:w="14879" w:type="dxa"/>
            <w:gridSpan w:val="10"/>
            <w:tcBorders>
              <w:top w:val="single" w:sz="4" w:space="0" w:color="auto"/>
              <w:left w:val="single" w:sz="4" w:space="0" w:color="auto"/>
              <w:bottom w:val="single" w:sz="4" w:space="0" w:color="auto"/>
              <w:right w:val="single" w:sz="4" w:space="0" w:color="000000"/>
            </w:tcBorders>
            <w:shd w:val="clear" w:color="000000" w:fill="FFC000"/>
            <w:vAlign w:val="bottom"/>
            <w:hideMark/>
          </w:tcPr>
          <w:p w:rsidR="00632BA1" w:rsidRPr="00632BA1" w:rsidRDefault="00632BA1" w:rsidP="00632BA1">
            <w:pPr>
              <w:overflowPunct/>
              <w:autoSpaceDE/>
              <w:autoSpaceDN/>
              <w:adjustRightInd/>
              <w:spacing w:after="0" w:line="240" w:lineRule="auto"/>
              <w:textAlignment w:val="auto"/>
              <w:rPr>
                <w:rFonts w:ascii="Calibri" w:hAnsi="Calibri"/>
                <w:b/>
                <w:bCs/>
                <w:color w:val="000000"/>
                <w:sz w:val="16"/>
                <w:szCs w:val="16"/>
              </w:rPr>
            </w:pPr>
            <w:r w:rsidRPr="00632BA1">
              <w:rPr>
                <w:rFonts w:ascii="Calibri" w:hAnsi="Calibri"/>
                <w:b/>
                <w:bCs/>
                <w:color w:val="000000"/>
                <w:sz w:val="16"/>
                <w:szCs w:val="16"/>
              </w:rPr>
              <w:t>Energetické úspory v podnikání MSP</w:t>
            </w:r>
          </w:p>
        </w:tc>
      </w:tr>
      <w:tr w:rsidR="00632BA1" w:rsidRPr="00632BA1" w:rsidTr="00B21CA7">
        <w:trPr>
          <w:trHeight w:val="4050"/>
        </w:trPr>
        <w:tc>
          <w:tcPr>
            <w:tcW w:w="343" w:type="dxa"/>
            <w:tcBorders>
              <w:top w:val="nil"/>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46.</w:t>
            </w:r>
          </w:p>
        </w:tc>
        <w:tc>
          <w:tcPr>
            <w:tcW w:w="13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Příprava a vyhlášení výzev programů podpory MSP směřujících k účinnému nakládání energií, rozvoji energetické infrastruktury a obnovitelných zdrojů energie, k zavádění nových technologií v oblasti nakládání energií a druhotných surovin v OP PIK</w:t>
            </w:r>
          </w:p>
        </w:tc>
        <w:tc>
          <w:tcPr>
            <w:tcW w:w="115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61000,</w:t>
            </w:r>
            <w:r w:rsidRPr="00632BA1">
              <w:rPr>
                <w:rFonts w:ascii="Calibri" w:hAnsi="Calibri"/>
                <w:color w:val="000000"/>
                <w:sz w:val="16"/>
                <w:szCs w:val="16"/>
              </w:rPr>
              <w:br/>
              <w:t xml:space="preserve">MPO 32000, </w:t>
            </w:r>
            <w:proofErr w:type="spellStart"/>
            <w:r w:rsidRPr="00632BA1">
              <w:rPr>
                <w:rFonts w:ascii="Calibri" w:hAnsi="Calibri"/>
                <w:color w:val="000000"/>
                <w:sz w:val="16"/>
                <w:szCs w:val="16"/>
              </w:rPr>
              <w:t>CzechInvest</w:t>
            </w:r>
            <w:proofErr w:type="spellEnd"/>
          </w:p>
        </w:tc>
        <w:tc>
          <w:tcPr>
            <w:tcW w:w="995"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PO3 OP PIK</w:t>
            </w:r>
          </w:p>
        </w:tc>
        <w:tc>
          <w:tcPr>
            <w:tcW w:w="1417" w:type="dxa"/>
            <w:tcBorders>
              <w:top w:val="nil"/>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OZE a Úspory energie (PO3), program Nízkouhlíkové technologie</w:t>
            </w:r>
          </w:p>
        </w:tc>
        <w:tc>
          <w:tcPr>
            <w:tcW w:w="2552" w:type="dxa"/>
            <w:tcBorders>
              <w:top w:val="single" w:sz="4" w:space="0" w:color="auto"/>
              <w:left w:val="single" w:sz="4" w:space="0" w:color="000000"/>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ÚSPORY ENERGIE -</w:t>
            </w:r>
            <w:r w:rsidR="00B54AD3">
              <w:rPr>
                <w:rFonts w:ascii="Calibri" w:hAnsi="Calibri"/>
                <w:sz w:val="16"/>
                <w:szCs w:val="16"/>
              </w:rPr>
              <w:t xml:space="preserve"> </w:t>
            </w:r>
            <w:r w:rsidRPr="00632BA1">
              <w:rPr>
                <w:rFonts w:ascii="Calibri" w:hAnsi="Calibri"/>
                <w:sz w:val="16"/>
                <w:szCs w:val="16"/>
              </w:rPr>
              <w:t xml:space="preserve">investiční podpora na snížení energetické náročnosti podnikatelského sektoru. Účelem programu je podpora opatření přispívající k úspoře konečné spotřeby energie. OBNOVITELNÉ ZDROJE ENERGIE - investiční podpora na výrobu a distribuci energie pocházející z obnovitelných zdrojů. NÍZKOUHLÍKOVÉ TECHNOLOGIE - investiční podpora </w:t>
            </w:r>
            <w:r w:rsidR="00956E53" w:rsidRPr="00632BA1">
              <w:rPr>
                <w:rFonts w:ascii="Calibri" w:hAnsi="Calibri"/>
                <w:sz w:val="16"/>
                <w:szCs w:val="16"/>
              </w:rPr>
              <w:t>na zavádění</w:t>
            </w:r>
            <w:r w:rsidRPr="00632BA1">
              <w:rPr>
                <w:rFonts w:ascii="Calibri" w:hAnsi="Calibri"/>
                <w:sz w:val="16"/>
                <w:szCs w:val="16"/>
              </w:rPr>
              <w:t xml:space="preserve"> nových inovativních technologií v oblasti nakládání energií a druhotných surovin.</w:t>
            </w:r>
          </w:p>
        </w:tc>
        <w:tc>
          <w:tcPr>
            <w:tcW w:w="1984" w:type="dxa"/>
            <w:tcBorders>
              <w:top w:val="single" w:sz="4" w:space="0" w:color="auto"/>
              <w:left w:val="single" w:sz="4" w:space="0" w:color="000000"/>
              <w:bottom w:val="single" w:sz="4" w:space="0" w:color="auto"/>
              <w:right w:val="nil"/>
            </w:tcBorders>
            <w:shd w:val="clear" w:color="auto" w:fill="C2D69B" w:themeFill="accent3" w:themeFillTint="99"/>
            <w:hideMark/>
          </w:tcPr>
          <w:p w:rsidR="00632BA1" w:rsidRPr="00632BA1" w:rsidRDefault="00632BA1" w:rsidP="00D2278F">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Ano - aktuálně je vyhlášena výzva z </w:t>
            </w:r>
            <w:r w:rsidR="00154E92">
              <w:rPr>
                <w:rFonts w:ascii="Calibri" w:hAnsi="Calibri"/>
                <w:sz w:val="16"/>
                <w:szCs w:val="16"/>
              </w:rPr>
              <w:t>programu ÚSPORY ENERGIE</w:t>
            </w:r>
            <w:r w:rsidRPr="00632BA1">
              <w:rPr>
                <w:rFonts w:ascii="Calibri" w:hAnsi="Calibri"/>
                <w:sz w:val="16"/>
                <w:szCs w:val="16"/>
              </w:rPr>
              <w:t xml:space="preserve">                         </w:t>
            </w:r>
          </w:p>
        </w:tc>
        <w:tc>
          <w:tcPr>
            <w:tcW w:w="2410" w:type="dxa"/>
            <w:tcBorders>
              <w:top w:val="single" w:sz="4" w:space="0" w:color="auto"/>
              <w:left w:val="single" w:sz="4" w:space="0" w:color="000000"/>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Dne 1. prosince 2015 bude zahájen příjem plných žádostí v programu ÚSPORY ENERGIE.                       Ostatní výzvy jsou v přípravné fázi.</w:t>
            </w:r>
          </w:p>
        </w:tc>
        <w:tc>
          <w:tcPr>
            <w:tcW w:w="1701" w:type="dxa"/>
            <w:tcBorders>
              <w:top w:val="single" w:sz="4" w:space="0" w:color="auto"/>
              <w:left w:val="single" w:sz="4" w:space="0" w:color="000000"/>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ÚSPORY ENERGIE - Příjem plných žádostí bude ukončen v dubnu 2016</w:t>
            </w:r>
          </w:p>
        </w:tc>
      </w:tr>
      <w:tr w:rsidR="00632BA1" w:rsidRPr="00632BA1" w:rsidTr="00B21CA7">
        <w:trPr>
          <w:trHeight w:val="566"/>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47.</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Vyhlášení dalších výzev programu EFEKT pro rok 2015</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12/2015</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MPO 32000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154E92" w:rsidP="00632BA1">
            <w:pPr>
              <w:overflowPunct/>
              <w:autoSpaceDE/>
              <w:autoSpaceDN/>
              <w:adjustRightInd/>
              <w:spacing w:after="0" w:line="240" w:lineRule="auto"/>
              <w:textAlignment w:val="auto"/>
              <w:rPr>
                <w:rFonts w:ascii="Calibri" w:hAnsi="Calibri"/>
                <w:color w:val="000000"/>
                <w:sz w:val="16"/>
                <w:szCs w:val="16"/>
              </w:rPr>
            </w:pPr>
            <w:r>
              <w:rPr>
                <w:rFonts w:ascii="Calibri" w:hAnsi="Calibri"/>
                <w:color w:val="000000"/>
                <w:sz w:val="16"/>
                <w:szCs w:val="16"/>
              </w:rPr>
              <w:t>S</w:t>
            </w:r>
            <w:r w:rsidR="00632BA1" w:rsidRPr="00632BA1">
              <w:rPr>
                <w:rFonts w:ascii="Calibri" w:hAnsi="Calibri"/>
                <w:color w:val="000000"/>
                <w:sz w:val="16"/>
                <w:szCs w:val="16"/>
              </w:rPr>
              <w:t>tátní rozpočet</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EFEKT - Státní program na podporu úspor energie a využití obnovitelných zdrojů energie, tzv. EFEKT, na rok 2015</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 xml:space="preserve">V rámci celého roku 2015 byli malí a střední podnikatelé podpořeni v oblastech výzev: Propagace a </w:t>
            </w:r>
            <w:r w:rsidR="00956E53" w:rsidRPr="00632BA1">
              <w:rPr>
                <w:rFonts w:ascii="Calibri" w:hAnsi="Calibri"/>
                <w:sz w:val="16"/>
                <w:szCs w:val="16"/>
              </w:rPr>
              <w:t>vzdělávání (Kurz</w:t>
            </w:r>
            <w:r w:rsidRPr="00632BA1">
              <w:rPr>
                <w:rFonts w:ascii="Calibri" w:hAnsi="Calibri"/>
                <w:sz w:val="16"/>
                <w:szCs w:val="16"/>
              </w:rPr>
              <w:t xml:space="preserve">, seminář v oblasti energetiky, Publikace, příručky a informační materiály v oblasti energetiky), Energetické poradenství (Energetická </w:t>
            </w:r>
            <w:r w:rsidR="00956E53" w:rsidRPr="00632BA1">
              <w:rPr>
                <w:rFonts w:ascii="Calibri" w:hAnsi="Calibri"/>
                <w:sz w:val="16"/>
                <w:szCs w:val="16"/>
              </w:rPr>
              <w:t>konzultační a informační</w:t>
            </w:r>
            <w:r w:rsidRPr="00632BA1">
              <w:rPr>
                <w:rFonts w:ascii="Calibri" w:hAnsi="Calibri"/>
                <w:sz w:val="16"/>
                <w:szCs w:val="16"/>
              </w:rPr>
              <w:t xml:space="preserve"> střediska EKIS), Specifické a pilotní projekty (Projekty </w:t>
            </w:r>
            <w:r w:rsidRPr="00632BA1">
              <w:rPr>
                <w:rFonts w:ascii="Calibri" w:hAnsi="Calibri"/>
                <w:sz w:val="16"/>
                <w:szCs w:val="16"/>
              </w:rPr>
              <w:lastRenderedPageBreak/>
              <w:t>vzdělávání a studie).</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Propagace a vzdělávání (termín podání projektu únor 2015), Energetické poradenství (termín podání projektu prosinec 2014), Specifické a pilotní projekty (termín podání projektu duben 2015)</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r>
      <w:tr w:rsidR="00632BA1" w:rsidRPr="00632BA1" w:rsidTr="00B21CA7">
        <w:trPr>
          <w:trHeight w:val="1350"/>
        </w:trPr>
        <w:tc>
          <w:tcPr>
            <w:tcW w:w="3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lastRenderedPageBreak/>
              <w:t>48.</w:t>
            </w:r>
          </w:p>
        </w:tc>
        <w:tc>
          <w:tcPr>
            <w:tcW w:w="13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Dotační podpora energetických auditů</w:t>
            </w:r>
          </w:p>
        </w:tc>
        <w:tc>
          <w:tcPr>
            <w:tcW w:w="115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Dle harmonogramu přípravy OP PIK</w:t>
            </w:r>
          </w:p>
        </w:tc>
        <w:tc>
          <w:tcPr>
            <w:tcW w:w="96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 xml:space="preserve">MPO 32000, </w:t>
            </w:r>
            <w:r w:rsidRPr="00632BA1">
              <w:rPr>
                <w:rFonts w:ascii="Calibri" w:hAnsi="Calibri"/>
                <w:color w:val="000000"/>
                <w:sz w:val="16"/>
                <w:szCs w:val="16"/>
              </w:rPr>
              <w:br/>
              <w:t>MPO 61000</w:t>
            </w:r>
          </w:p>
        </w:tc>
        <w:tc>
          <w:tcPr>
            <w:tcW w:w="995"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PO3 OP PIK</w:t>
            </w:r>
          </w:p>
        </w:tc>
        <w:tc>
          <w:tcPr>
            <w:tcW w:w="1417"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Program Úspory energie v rámci PO3</w:t>
            </w:r>
          </w:p>
        </w:tc>
        <w:tc>
          <w:tcPr>
            <w:tcW w:w="2552" w:type="dxa"/>
            <w:tcBorders>
              <w:top w:val="single" w:sz="4" w:space="0" w:color="auto"/>
              <w:left w:val="nil"/>
              <w:bottom w:val="single" w:sz="4" w:space="0" w:color="auto"/>
              <w:right w:val="nil"/>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sz w:val="16"/>
                <w:szCs w:val="16"/>
              </w:rPr>
            </w:pPr>
            <w:r w:rsidRPr="00632BA1">
              <w:rPr>
                <w:rFonts w:ascii="Calibri" w:hAnsi="Calibri"/>
                <w:sz w:val="16"/>
                <w:szCs w:val="16"/>
              </w:rPr>
              <w:t>V rámci dotace OP PIK SC 3.2 bude proplacen energetický posudek dle následujících podmínek (viz 1. výzva Úspory energie OP PIK SC 3.2). Míra podpory na Ekologické studie (Energetický posudek): a) Je-li Příjemcem dotace malý podnik, je podpora poskytována až do výše 50 % ZV, b) Je-li Příjemcem dotace střední podnik, je podpora poskytována až do výše 40 % ZV, c) Je-li Příjemcem dotace velký podnik, je podpora poskytována až do výše 30 % ZV.</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Ano</w:t>
            </w:r>
          </w:p>
        </w:tc>
        <w:tc>
          <w:tcPr>
            <w:tcW w:w="2410" w:type="dxa"/>
            <w:tcBorders>
              <w:top w:val="single" w:sz="4" w:space="0" w:color="auto"/>
              <w:left w:val="nil"/>
              <w:bottom w:val="single" w:sz="4" w:space="0" w:color="auto"/>
              <w:right w:val="single" w:sz="4" w:space="0" w:color="auto"/>
            </w:tcBorders>
            <w:shd w:val="clear" w:color="auto" w:fill="C2D69B" w:themeFill="accent3" w:themeFillTint="99"/>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r w:rsidRPr="00632BA1">
              <w:rPr>
                <w:rFonts w:ascii="Calibri" w:hAnsi="Calibri"/>
                <w:color w:val="000000"/>
                <w:sz w:val="16"/>
                <w:szCs w:val="16"/>
              </w:rPr>
              <w:t>Výzva vyhlášena dne 29.5. Příjem žádostí od 1.6.</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hideMark/>
          </w:tcPr>
          <w:p w:rsidR="00632BA1" w:rsidRPr="00632BA1" w:rsidRDefault="00632BA1" w:rsidP="00632BA1">
            <w:pPr>
              <w:overflowPunct/>
              <w:autoSpaceDE/>
              <w:autoSpaceDN/>
              <w:adjustRightInd/>
              <w:spacing w:after="0" w:line="240" w:lineRule="auto"/>
              <w:textAlignment w:val="auto"/>
              <w:rPr>
                <w:rFonts w:ascii="Calibri" w:hAnsi="Calibri"/>
                <w:color w:val="000000"/>
                <w:sz w:val="16"/>
                <w:szCs w:val="16"/>
              </w:rPr>
            </w:pPr>
          </w:p>
        </w:tc>
      </w:tr>
    </w:tbl>
    <w:p w:rsidR="00962F17" w:rsidRPr="00DA3EB5" w:rsidRDefault="00DA3EB5" w:rsidP="00112001">
      <w:pPr>
        <w:tabs>
          <w:tab w:val="left" w:pos="3763"/>
        </w:tabs>
        <w:rPr>
          <w:b/>
          <w:sz w:val="30"/>
          <w:szCs w:val="30"/>
          <w:u w:val="single"/>
        </w:rPr>
        <w:sectPr w:rsidR="00962F17" w:rsidRPr="00DA3EB5" w:rsidSect="00D2278F">
          <w:pgSz w:w="16838" w:h="11906" w:orient="landscape"/>
          <w:pgMar w:top="1417" w:right="1417" w:bottom="1417" w:left="1417" w:header="708" w:footer="708" w:gutter="0"/>
          <w:cols w:space="708"/>
          <w:docGrid w:linePitch="299"/>
        </w:sectPr>
      </w:pPr>
      <w:r w:rsidRPr="00DA3EB5">
        <w:rPr>
          <w:sz w:val="20"/>
          <w:lang w:eastAsia="en-US"/>
        </w:rPr>
        <w:t>Pozn.: zeleně označená opatření jsou splněná</w:t>
      </w:r>
      <w:r>
        <w:rPr>
          <w:sz w:val="20"/>
          <w:lang w:eastAsia="en-US"/>
        </w:rPr>
        <w:t>.</w:t>
      </w:r>
    </w:p>
    <w:p w:rsidR="00763EB6" w:rsidRPr="004C47DF" w:rsidRDefault="0038338C" w:rsidP="004C47DF">
      <w:pPr>
        <w:pStyle w:val="Odstavecseseznamem"/>
        <w:numPr>
          <w:ilvl w:val="0"/>
          <w:numId w:val="9"/>
        </w:numPr>
        <w:overflowPunct/>
        <w:autoSpaceDE/>
        <w:autoSpaceDN/>
        <w:adjustRightInd/>
        <w:jc w:val="both"/>
        <w:textAlignment w:val="auto"/>
        <w:rPr>
          <w:b/>
          <w:sz w:val="30"/>
          <w:szCs w:val="30"/>
          <w:lang w:eastAsia="en-US"/>
        </w:rPr>
      </w:pPr>
      <w:r w:rsidRPr="004C47DF">
        <w:rPr>
          <w:b/>
          <w:sz w:val="30"/>
          <w:szCs w:val="30"/>
          <w:u w:val="single"/>
        </w:rPr>
        <w:lastRenderedPageBreak/>
        <w:t>Návrh</w:t>
      </w:r>
      <w:r w:rsidR="00AB4192" w:rsidRPr="004C47DF">
        <w:rPr>
          <w:b/>
          <w:sz w:val="30"/>
          <w:szCs w:val="30"/>
          <w:u w:val="single"/>
        </w:rPr>
        <w:t xml:space="preserve"> Akčního plánu podpory malých a středních podnikatelů na rok 2016</w:t>
      </w:r>
    </w:p>
    <w:p w:rsidR="0038338C" w:rsidRDefault="0038338C" w:rsidP="0038338C">
      <w:pPr>
        <w:jc w:val="both"/>
      </w:pPr>
      <w:r w:rsidRPr="006E086D">
        <w:rPr>
          <w:b/>
        </w:rPr>
        <w:t>MPO nyní připravuje Akční plán podpory malých a střední podnikatelů na rok 2016 (AP MSP 2016), do kterého byly v důsledku zajištění kontinuity plnění vybraných opatření zahrnuty i některé úkoly z AP MSP 2015, nicméně hlavním cílem je formulace a hlavně realizaci nových opatření.</w:t>
      </w:r>
      <w:r>
        <w:t xml:space="preserve"> MPO stejně jako v předešlém roce spolupracovalo při přípravě AP MSP 2016 s hospodářskými a sociálními partnery na platformě RHSD ČR a Rady vlády pro konkurenceschopnost a hospodářský růst. </w:t>
      </w:r>
    </w:p>
    <w:p w:rsidR="0038338C" w:rsidRDefault="0038338C" w:rsidP="0038338C">
      <w:pPr>
        <w:jc w:val="both"/>
      </w:pPr>
      <w:r>
        <w:t xml:space="preserve">Konkrétně se do zpracování AP MSP 2016 zapojili představitelé těchto svazů a asociací: </w:t>
      </w:r>
    </w:p>
    <w:p w:rsidR="0038338C" w:rsidRDefault="004C47DF" w:rsidP="0038338C">
      <w:pPr>
        <w:jc w:val="both"/>
      </w:pPr>
      <w:r>
        <w:t xml:space="preserve"> </w:t>
      </w:r>
      <w:r w:rsidR="0038338C">
        <w:t>-</w:t>
      </w:r>
      <w:r w:rsidR="0038338C">
        <w:tab/>
        <w:t>Českomoravská konfederace odborových svazů</w:t>
      </w:r>
    </w:p>
    <w:p w:rsidR="0038338C" w:rsidRDefault="0038338C" w:rsidP="0038338C">
      <w:pPr>
        <w:jc w:val="both"/>
      </w:pPr>
      <w:r>
        <w:t>-</w:t>
      </w:r>
      <w:r>
        <w:tab/>
        <w:t>Svaz průmyslu a dopravy České Republiky</w:t>
      </w:r>
    </w:p>
    <w:p w:rsidR="0038338C" w:rsidRDefault="0038338C" w:rsidP="0038338C">
      <w:pPr>
        <w:jc w:val="both"/>
      </w:pPr>
      <w:r>
        <w:t>-</w:t>
      </w:r>
      <w:r>
        <w:tab/>
        <w:t>Asociace malých a středních podniků a živnostníků ČR</w:t>
      </w:r>
    </w:p>
    <w:p w:rsidR="0038338C" w:rsidRDefault="0038338C" w:rsidP="0038338C">
      <w:pPr>
        <w:jc w:val="both"/>
      </w:pPr>
      <w:r>
        <w:t>-</w:t>
      </w:r>
      <w:r>
        <w:tab/>
        <w:t>Konfederace zaměstnavatelských a podnikatelských svazů ČR</w:t>
      </w:r>
    </w:p>
    <w:p w:rsidR="0038338C" w:rsidRDefault="0038338C" w:rsidP="0038338C">
      <w:pPr>
        <w:jc w:val="both"/>
      </w:pPr>
      <w:r>
        <w:t>-</w:t>
      </w:r>
      <w:r>
        <w:tab/>
        <w:t>Svaz českých a moravských výrobních družstev</w:t>
      </w:r>
    </w:p>
    <w:p w:rsidR="0038338C" w:rsidRDefault="0038338C" w:rsidP="0038338C">
      <w:pPr>
        <w:jc w:val="both"/>
      </w:pPr>
      <w:r w:rsidRPr="005002AE">
        <w:rPr>
          <w:b/>
        </w:rPr>
        <w:t>MPO se bude i nadále zaměřovat na cílenou podporu v těchto 4 prioritních oblastech</w:t>
      </w:r>
      <w:r>
        <w:t xml:space="preserve">: </w:t>
      </w:r>
    </w:p>
    <w:p w:rsidR="0038338C" w:rsidRDefault="0038338C" w:rsidP="0038338C">
      <w:pPr>
        <w:jc w:val="both"/>
      </w:pPr>
      <w:r>
        <w:t>-</w:t>
      </w:r>
      <w:r>
        <w:tab/>
        <w:t xml:space="preserve">Příznivé podnikatelské prostředí pro MSP; </w:t>
      </w:r>
    </w:p>
    <w:p w:rsidR="0038338C" w:rsidRDefault="0038338C" w:rsidP="0038338C">
      <w:pPr>
        <w:jc w:val="both"/>
      </w:pPr>
      <w:r>
        <w:t>-</w:t>
      </w:r>
      <w:r>
        <w:tab/>
        <w:t xml:space="preserve">Přístup k financím; </w:t>
      </w:r>
    </w:p>
    <w:p w:rsidR="0038338C" w:rsidRDefault="0038338C" w:rsidP="0038338C">
      <w:pPr>
        <w:jc w:val="both"/>
      </w:pPr>
      <w:r>
        <w:t>-</w:t>
      </w:r>
      <w:r>
        <w:tab/>
        <w:t xml:space="preserve">Internacionalizace podnikání MSP; </w:t>
      </w:r>
    </w:p>
    <w:p w:rsidR="0038338C" w:rsidRDefault="0038338C" w:rsidP="0038338C">
      <w:pPr>
        <w:jc w:val="both"/>
      </w:pPr>
      <w:r>
        <w:t>-</w:t>
      </w:r>
      <w:r>
        <w:tab/>
        <w:t>Energetické úspory v podnikání MSP.</w:t>
      </w:r>
    </w:p>
    <w:p w:rsidR="00082E57" w:rsidRPr="005002AE" w:rsidRDefault="0038338C" w:rsidP="0038338C">
      <w:pPr>
        <w:jc w:val="both"/>
        <w:rPr>
          <w:b/>
        </w:rPr>
      </w:pPr>
      <w:r w:rsidRPr="005002AE">
        <w:rPr>
          <w:b/>
        </w:rPr>
        <w:t>AP MSP 2016 byl projednán v rámci Výboru pro MSP a výrobní družstva Rady vlády pro konkurenceschopnost a hospodářský růst (RKVHR) dne 9. listopadu 2015.</w:t>
      </w:r>
      <w:r w:rsidR="00082E57" w:rsidRPr="005002AE">
        <w:rPr>
          <w:b/>
        </w:rPr>
        <w:t xml:space="preserve"> </w:t>
      </w:r>
      <w:r w:rsidR="00B227EB" w:rsidRPr="005002AE">
        <w:rPr>
          <w:b/>
        </w:rPr>
        <w:t xml:space="preserve"> </w:t>
      </w:r>
    </w:p>
    <w:p w:rsidR="00B227EB" w:rsidRDefault="00B227EB">
      <w:pPr>
        <w:jc w:val="both"/>
        <w:rPr>
          <w:sz w:val="14"/>
          <w:szCs w:val="14"/>
        </w:rPr>
      </w:pPr>
    </w:p>
    <w:p w:rsidR="00B5246C" w:rsidRDefault="00B5246C">
      <w:pPr>
        <w:overflowPunct/>
        <w:autoSpaceDE/>
        <w:autoSpaceDN/>
        <w:adjustRightInd/>
        <w:spacing w:after="0" w:line="240" w:lineRule="auto"/>
        <w:textAlignment w:val="auto"/>
        <w:rPr>
          <w:sz w:val="14"/>
          <w:szCs w:val="14"/>
        </w:rPr>
      </w:pPr>
      <w:r>
        <w:rPr>
          <w:sz w:val="14"/>
          <w:szCs w:val="14"/>
        </w:rPr>
        <w:br w:type="page"/>
      </w:r>
    </w:p>
    <w:p w:rsidR="00820981" w:rsidRDefault="00820981" w:rsidP="00820981">
      <w:pPr>
        <w:overflowPunct/>
        <w:autoSpaceDE/>
        <w:autoSpaceDN/>
        <w:adjustRightInd/>
        <w:spacing w:after="0" w:line="240" w:lineRule="auto"/>
        <w:textAlignment w:val="auto"/>
        <w:rPr>
          <w:rFonts w:ascii="Calibri" w:hAnsi="Calibri"/>
          <w:b/>
          <w:bCs/>
          <w:color w:val="000000"/>
          <w:sz w:val="30"/>
          <w:szCs w:val="30"/>
        </w:rPr>
      </w:pPr>
      <w:r w:rsidRPr="00820981">
        <w:rPr>
          <w:rFonts w:ascii="Calibri" w:hAnsi="Calibri"/>
          <w:b/>
          <w:bCs/>
          <w:color w:val="000000"/>
          <w:sz w:val="30"/>
          <w:szCs w:val="30"/>
        </w:rPr>
        <w:lastRenderedPageBreak/>
        <w:t>Návrh Akčního plánu podpory malých a středních podnikatelů na rok 2016</w:t>
      </w:r>
    </w:p>
    <w:p w:rsidR="001969B1" w:rsidRDefault="001969B1" w:rsidP="00820981">
      <w:pPr>
        <w:overflowPunct/>
        <w:autoSpaceDE/>
        <w:autoSpaceDN/>
        <w:adjustRightInd/>
        <w:spacing w:after="0" w:line="240" w:lineRule="auto"/>
        <w:textAlignment w:val="auto"/>
        <w:rPr>
          <w:rFonts w:ascii="Calibri" w:hAnsi="Calibri"/>
          <w:b/>
          <w:bCs/>
          <w:color w:val="000000"/>
          <w:sz w:val="30"/>
          <w:szCs w:val="30"/>
        </w:rPr>
      </w:pPr>
    </w:p>
    <w:p w:rsidR="001969B1" w:rsidRPr="001A5617" w:rsidRDefault="001969B1" w:rsidP="00911F25">
      <w:pPr>
        <w:pStyle w:val="Nadpis1"/>
        <w:spacing w:before="240"/>
      </w:pPr>
      <w:bookmarkStart w:id="0" w:name="_Toc433272195"/>
      <w:r>
        <w:t>Prioritní oblasti podpory MSP</w:t>
      </w:r>
      <w:bookmarkEnd w:id="0"/>
      <w:r>
        <w:t xml:space="preserve"> </w:t>
      </w:r>
    </w:p>
    <w:p w:rsidR="001969B1" w:rsidRDefault="001969B1" w:rsidP="00911F25">
      <w:pPr>
        <w:pStyle w:val="Nadpis2"/>
      </w:pPr>
      <w:bookmarkStart w:id="1" w:name="_Toc394482543"/>
      <w:bookmarkStart w:id="2" w:name="_Toc433272196"/>
      <w:r>
        <w:t>„Přátelské“ podnikatelské prostředí pro MSP</w:t>
      </w:r>
      <w:bookmarkEnd w:id="1"/>
      <w:bookmarkEnd w:id="2"/>
    </w:p>
    <w:p w:rsidR="009835E1" w:rsidRDefault="009835E1" w:rsidP="009835E1"/>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50"/>
        <w:gridCol w:w="1276"/>
        <w:gridCol w:w="1134"/>
        <w:gridCol w:w="1276"/>
        <w:gridCol w:w="3090"/>
      </w:tblGrid>
      <w:tr w:rsidR="009835E1" w:rsidRPr="009C1CB4" w:rsidTr="009835E1">
        <w:tc>
          <w:tcPr>
            <w:tcW w:w="2269" w:type="dxa"/>
            <w:shd w:val="clear" w:color="auto" w:fill="E36C0A"/>
          </w:tcPr>
          <w:p w:rsidR="009835E1" w:rsidRPr="009C1CB4" w:rsidRDefault="009835E1" w:rsidP="009835E1">
            <w:pPr>
              <w:spacing w:after="0"/>
              <w:rPr>
                <w:b/>
                <w:sz w:val="20"/>
              </w:rPr>
            </w:pPr>
            <w:r>
              <w:br w:type="page"/>
            </w:r>
            <w:r>
              <w:rPr>
                <w:b/>
                <w:sz w:val="20"/>
              </w:rPr>
              <w:t>Aktivita/</w:t>
            </w:r>
            <w:r w:rsidRPr="009C1CB4">
              <w:rPr>
                <w:b/>
                <w:sz w:val="20"/>
              </w:rPr>
              <w:t xml:space="preserve"> úkol</w:t>
            </w:r>
          </w:p>
        </w:tc>
        <w:tc>
          <w:tcPr>
            <w:tcW w:w="850" w:type="dxa"/>
            <w:shd w:val="clear" w:color="auto" w:fill="E36C0A"/>
          </w:tcPr>
          <w:p w:rsidR="009835E1" w:rsidRPr="009C1CB4" w:rsidRDefault="009835E1" w:rsidP="009835E1">
            <w:pPr>
              <w:spacing w:after="0"/>
              <w:rPr>
                <w:b/>
                <w:sz w:val="20"/>
              </w:rPr>
            </w:pPr>
            <w:r>
              <w:rPr>
                <w:b/>
                <w:sz w:val="20"/>
              </w:rPr>
              <w:t xml:space="preserve">Gestor </w:t>
            </w:r>
          </w:p>
        </w:tc>
        <w:tc>
          <w:tcPr>
            <w:tcW w:w="1276" w:type="dxa"/>
            <w:shd w:val="clear" w:color="auto" w:fill="E36C0A"/>
          </w:tcPr>
          <w:p w:rsidR="009835E1" w:rsidRPr="009C1CB4" w:rsidRDefault="009835E1" w:rsidP="009835E1">
            <w:pPr>
              <w:spacing w:after="0"/>
              <w:rPr>
                <w:b/>
                <w:sz w:val="20"/>
              </w:rPr>
            </w:pPr>
            <w:proofErr w:type="spellStart"/>
            <w:r>
              <w:rPr>
                <w:b/>
                <w:sz w:val="20"/>
              </w:rPr>
              <w:t>Spolugestor</w:t>
            </w:r>
            <w:proofErr w:type="spellEnd"/>
          </w:p>
        </w:tc>
        <w:tc>
          <w:tcPr>
            <w:tcW w:w="1134" w:type="dxa"/>
            <w:shd w:val="clear" w:color="auto" w:fill="E36C0A"/>
          </w:tcPr>
          <w:p w:rsidR="009835E1" w:rsidRPr="009C1CB4" w:rsidRDefault="009835E1" w:rsidP="009835E1">
            <w:pPr>
              <w:spacing w:after="0"/>
              <w:rPr>
                <w:b/>
                <w:sz w:val="20"/>
              </w:rPr>
            </w:pPr>
            <w:r w:rsidRPr="009C1CB4">
              <w:rPr>
                <w:b/>
                <w:sz w:val="20"/>
              </w:rPr>
              <w:t>Termín</w:t>
            </w:r>
          </w:p>
        </w:tc>
        <w:tc>
          <w:tcPr>
            <w:tcW w:w="1276" w:type="dxa"/>
            <w:shd w:val="clear" w:color="auto" w:fill="E36C0A"/>
          </w:tcPr>
          <w:p w:rsidR="009835E1" w:rsidRPr="009C1CB4" w:rsidRDefault="009835E1" w:rsidP="009835E1">
            <w:pPr>
              <w:spacing w:after="0"/>
              <w:rPr>
                <w:b/>
                <w:sz w:val="20"/>
              </w:rPr>
            </w:pPr>
            <w:r w:rsidRPr="009C1CB4">
              <w:rPr>
                <w:b/>
                <w:sz w:val="20"/>
              </w:rPr>
              <w:t>Financování</w:t>
            </w:r>
          </w:p>
        </w:tc>
        <w:tc>
          <w:tcPr>
            <w:tcW w:w="3090" w:type="dxa"/>
            <w:shd w:val="clear" w:color="auto" w:fill="E36C0A"/>
          </w:tcPr>
          <w:p w:rsidR="009835E1" w:rsidRPr="009C1CB4" w:rsidRDefault="009835E1" w:rsidP="009835E1">
            <w:pPr>
              <w:spacing w:after="0"/>
              <w:rPr>
                <w:b/>
                <w:sz w:val="20"/>
              </w:rPr>
            </w:pPr>
            <w:r>
              <w:rPr>
                <w:b/>
                <w:sz w:val="20"/>
              </w:rPr>
              <w:t>Nástroj realizace opatření</w:t>
            </w:r>
          </w:p>
        </w:tc>
      </w:tr>
      <w:tr w:rsidR="009835E1" w:rsidRPr="000041EF"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A04C72">
              <w:rPr>
                <w:sz w:val="20"/>
              </w:rPr>
              <w:t>Apel na průběžnou aplikaci jednotných dat účinnosti právních předpisů</w:t>
            </w:r>
            <w:r>
              <w:rPr>
                <w:sz w:val="20"/>
              </w:rPr>
              <w:t xml:space="preserve">  </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41000</w:t>
            </w:r>
          </w:p>
        </w:tc>
        <w:tc>
          <w:tcPr>
            <w:tcW w:w="1276" w:type="dxa"/>
          </w:tcPr>
          <w:p w:rsidR="009835E1" w:rsidRPr="00237E1E" w:rsidRDefault="009835E1" w:rsidP="009F1ABD">
            <w:pPr>
              <w:overflowPunct/>
              <w:autoSpaceDE/>
              <w:autoSpaceDN/>
              <w:adjustRightInd/>
              <w:spacing w:after="0" w:line="240" w:lineRule="auto"/>
              <w:textAlignment w:val="auto"/>
              <w:rPr>
                <w:sz w:val="20"/>
              </w:rPr>
            </w:pPr>
            <w:r w:rsidRPr="00237E1E">
              <w:rPr>
                <w:sz w:val="20"/>
              </w:rPr>
              <w:t xml:space="preserve">ÚV ČR, </w:t>
            </w:r>
            <w:proofErr w:type="spellStart"/>
            <w:r w:rsidRPr="00237E1E">
              <w:rPr>
                <w:sz w:val="20"/>
              </w:rPr>
              <w:t>MSp</w:t>
            </w:r>
            <w:proofErr w:type="spellEnd"/>
            <w:r w:rsidRPr="00237E1E">
              <w:rPr>
                <w:sz w:val="20"/>
              </w:rPr>
              <w:t>, MF</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A04C72">
              <w:rPr>
                <w:sz w:val="20"/>
              </w:rPr>
              <w:t xml:space="preserve">Průběžně </w:t>
            </w:r>
            <w:r w:rsidRPr="00237E1E">
              <w:rPr>
                <w:sz w:val="20"/>
              </w:rPr>
              <w:t>(přesun z 06/2015)</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Nevyžaduje se</w:t>
            </w:r>
          </w:p>
        </w:tc>
        <w:tc>
          <w:tcPr>
            <w:tcW w:w="3090" w:type="dxa"/>
          </w:tcPr>
          <w:p w:rsidR="009835E1" w:rsidRPr="00237E1E" w:rsidRDefault="009835E1" w:rsidP="009835E1">
            <w:pPr>
              <w:overflowPunct/>
              <w:autoSpaceDE/>
              <w:autoSpaceDN/>
              <w:adjustRightInd/>
              <w:spacing w:after="0" w:line="240" w:lineRule="auto"/>
              <w:jc w:val="both"/>
              <w:textAlignment w:val="auto"/>
              <w:rPr>
                <w:color w:val="FF0000"/>
                <w:sz w:val="20"/>
              </w:rPr>
            </w:pPr>
            <w:r w:rsidRPr="00A04C72">
              <w:rPr>
                <w:sz w:val="20"/>
              </w:rPr>
              <w:t>Nadále průběžně doporučovat</w:t>
            </w:r>
            <w:r>
              <w:rPr>
                <w:sz w:val="20"/>
              </w:rPr>
              <w:t xml:space="preserve"> ostatním resortům</w:t>
            </w:r>
            <w:r w:rsidRPr="00A04C72">
              <w:rPr>
                <w:sz w:val="20"/>
              </w:rPr>
              <w:t>, v případech kdy je to možné, využívání jednotných dat účinnosti (tj. buď 1. 1. nebo 1. 7.) u všech předpisů majících dopad na podnikatelské prostředí</w:t>
            </w:r>
            <w:r w:rsidR="00F54698">
              <w:rPr>
                <w:sz w:val="20"/>
              </w:rPr>
              <w:t>.</w:t>
            </w:r>
          </w:p>
        </w:tc>
      </w:tr>
      <w:tr w:rsidR="009835E1" w:rsidRPr="000041EF"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Pr>
                <w:sz w:val="20"/>
              </w:rPr>
              <w:t xml:space="preserve">Podpora konkurenceschopnosti MSP v souvislosti s uplatňováním </w:t>
            </w:r>
            <w:r w:rsidRPr="00466BC7">
              <w:rPr>
                <w:sz w:val="20"/>
              </w:rPr>
              <w:t>nových techno</w:t>
            </w:r>
            <w:r>
              <w:rPr>
                <w:sz w:val="20"/>
              </w:rPr>
              <w:t>logií a postupující digitalizací</w:t>
            </w:r>
            <w:r w:rsidRPr="00466BC7">
              <w:rPr>
                <w:sz w:val="20"/>
              </w:rPr>
              <w:t xml:space="preserve"> průmyslu a celého hospodářství</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MPO </w:t>
            </w:r>
            <w:r>
              <w:rPr>
                <w:sz w:val="20"/>
              </w:rPr>
              <w:t>61000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ÚV ČR </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12/2016</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Nevyžaduje se</w:t>
            </w:r>
          </w:p>
        </w:tc>
        <w:tc>
          <w:tcPr>
            <w:tcW w:w="3090" w:type="dxa"/>
          </w:tcPr>
          <w:p w:rsidR="009835E1" w:rsidRPr="00237E1E" w:rsidRDefault="009835E1" w:rsidP="009835E1">
            <w:pPr>
              <w:overflowPunct/>
              <w:autoSpaceDE/>
              <w:autoSpaceDN/>
              <w:adjustRightInd/>
              <w:spacing w:after="0" w:line="240" w:lineRule="auto"/>
              <w:jc w:val="both"/>
              <w:textAlignment w:val="auto"/>
              <w:rPr>
                <w:sz w:val="20"/>
              </w:rPr>
            </w:pPr>
            <w:r w:rsidRPr="00466BC7">
              <w:rPr>
                <w:sz w:val="20"/>
              </w:rPr>
              <w:t>V oblasti udržitelného inovačního dialogu</w:t>
            </w:r>
            <w:r>
              <w:rPr>
                <w:sz w:val="20"/>
              </w:rPr>
              <w:t xml:space="preserve"> na bázi iniciativy Průmysl 4.0 </w:t>
            </w:r>
            <w:r w:rsidRPr="00466BC7">
              <w:rPr>
                <w:sz w:val="20"/>
              </w:rPr>
              <w:t>vytvoření česko-německé pracovní skupiny pro navázání těsné spolupráce v oblasti výzkumu, vývoje a inovací. Účelem této skupiny by byla tvorba rámcových podmínek spolupráce v jednotlivých oblastech se zapojeních inovačních center v obou zemích.</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237E1E">
              <w:rPr>
                <w:sz w:val="20"/>
              </w:rPr>
              <w:br w:type="page"/>
            </w:r>
            <w:r w:rsidRPr="00237E1E">
              <w:rPr>
                <w:sz w:val="20"/>
              </w:rPr>
              <w:br w:type="page"/>
              <w:t>Prosazování přímého zápisu nové společnosti do Obchodního rejstříku notáři, v druhé fázi zjednodušení zápisu a snížení poplatků</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Pr>
                <w:sz w:val="20"/>
              </w:rPr>
              <w:t>MSp</w:t>
            </w:r>
            <w:proofErr w:type="spellEnd"/>
          </w:p>
          <w:p w:rsidR="009835E1" w:rsidRPr="00C954CD" w:rsidRDefault="009835E1" w:rsidP="00C954CD">
            <w:pPr>
              <w:overflowPunct/>
              <w:autoSpaceDE/>
              <w:autoSpaceDN/>
              <w:adjustRightInd/>
              <w:spacing w:after="0" w:line="240" w:lineRule="auto"/>
              <w:jc w:val="both"/>
              <w:textAlignment w:val="auto"/>
              <w:rPr>
                <w:sz w:val="20"/>
              </w:rPr>
            </w:pP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r>
              <w:rPr>
                <w:sz w:val="20"/>
              </w:rPr>
              <w:t>,</w:t>
            </w:r>
          </w:p>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MMR, MPSV, MV</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Pr>
                <w:sz w:val="20"/>
              </w:rPr>
              <w:t>12</w:t>
            </w:r>
            <w:r w:rsidRPr="00237E1E">
              <w:rPr>
                <w:sz w:val="20"/>
              </w:rPr>
              <w:t>/2016</w:t>
            </w:r>
          </w:p>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(přesun z 06/2015)</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D13117">
              <w:rPr>
                <w:sz w:val="20"/>
              </w:rPr>
              <w:t>Nevyžaduje se</w:t>
            </w:r>
          </w:p>
        </w:tc>
        <w:tc>
          <w:tcPr>
            <w:tcW w:w="3090" w:type="dxa"/>
          </w:tcPr>
          <w:p w:rsidR="009835E1" w:rsidRPr="00237E1E" w:rsidRDefault="009835E1" w:rsidP="009835E1">
            <w:pPr>
              <w:overflowPunct/>
              <w:autoSpaceDE/>
              <w:autoSpaceDN/>
              <w:adjustRightInd/>
              <w:spacing w:after="0" w:line="240" w:lineRule="auto"/>
              <w:jc w:val="both"/>
              <w:textAlignment w:val="auto"/>
              <w:rPr>
                <w:color w:val="FF0000"/>
                <w:sz w:val="20"/>
                <w:highlight w:val="yellow"/>
              </w:rPr>
            </w:pPr>
            <w:r w:rsidRPr="00237E1E">
              <w:rPr>
                <w:sz w:val="20"/>
              </w:rPr>
              <w:t>Změna legislativní úpravy jako splnění jedné z předběžných podmínek pro čerpání fondů EU vyplývající z Revize Evropského aktu pro malé a střední podniky (SBA) z roku 2011 - Snížení nutných nákladů na založení podniku. Zákon, kterým se mění zákon č. 549/1991 Sb., o soudních poplatcích, ve znění pozdějších předpisů.</w:t>
            </w:r>
          </w:p>
        </w:tc>
      </w:tr>
      <w:tr w:rsidR="009835E1" w:rsidRPr="008A31BF"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237E1E">
              <w:rPr>
                <w:sz w:val="20"/>
              </w:rPr>
              <w:t>Spolupráce na úpravě kvalifikačních kritérií pro specializované řemeslné profese a na stanovení hodnotících a kvalifikačních standardů pro profesní kvalifikace</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MPO </w:t>
            </w:r>
          </w:p>
          <w:p w:rsidR="009835E1" w:rsidRPr="00237E1E" w:rsidRDefault="009835E1" w:rsidP="00C954CD">
            <w:pPr>
              <w:overflowPunct/>
              <w:autoSpaceDE/>
              <w:autoSpaceDN/>
              <w:adjustRightInd/>
              <w:spacing w:after="0" w:line="240" w:lineRule="auto"/>
              <w:jc w:val="both"/>
              <w:textAlignment w:val="auto"/>
              <w:rPr>
                <w:sz w:val="20"/>
              </w:rPr>
            </w:pPr>
            <w:r>
              <w:rPr>
                <w:sz w:val="20"/>
              </w:rPr>
              <w:t>41000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MŠMT, MPSV</w:t>
            </w:r>
          </w:p>
        </w:tc>
        <w:tc>
          <w:tcPr>
            <w:tcW w:w="1134" w:type="dxa"/>
          </w:tcPr>
          <w:p w:rsidR="009835E1" w:rsidRPr="00237E1E" w:rsidRDefault="009835E1" w:rsidP="009F1ABD">
            <w:pPr>
              <w:overflowPunct/>
              <w:autoSpaceDE/>
              <w:autoSpaceDN/>
              <w:adjustRightInd/>
              <w:spacing w:after="0" w:line="240" w:lineRule="auto"/>
              <w:textAlignment w:val="auto"/>
              <w:rPr>
                <w:sz w:val="20"/>
              </w:rPr>
            </w:pPr>
            <w:r>
              <w:rPr>
                <w:sz w:val="20"/>
              </w:rPr>
              <w:t>12</w:t>
            </w:r>
            <w:r w:rsidRPr="00237E1E">
              <w:rPr>
                <w:sz w:val="20"/>
              </w:rPr>
              <w:t>/2016</w:t>
            </w:r>
          </w:p>
          <w:p w:rsidR="009835E1" w:rsidRPr="00237E1E" w:rsidRDefault="009835E1" w:rsidP="009F1ABD">
            <w:pPr>
              <w:overflowPunct/>
              <w:autoSpaceDE/>
              <w:autoSpaceDN/>
              <w:adjustRightInd/>
              <w:spacing w:after="0" w:line="240" w:lineRule="auto"/>
              <w:textAlignment w:val="auto"/>
              <w:rPr>
                <w:sz w:val="20"/>
              </w:rPr>
            </w:pPr>
            <w:r w:rsidRPr="00237E1E">
              <w:rPr>
                <w:sz w:val="20"/>
              </w:rPr>
              <w:t>(přesun z 06/2015)</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237E1E">
              <w:rPr>
                <w:sz w:val="20"/>
              </w:rPr>
              <w:t>Nevyžaduje se</w:t>
            </w:r>
          </w:p>
        </w:tc>
        <w:tc>
          <w:tcPr>
            <w:tcW w:w="3090" w:type="dxa"/>
          </w:tcPr>
          <w:p w:rsidR="009835E1" w:rsidRDefault="009835E1" w:rsidP="009835E1">
            <w:pPr>
              <w:overflowPunct/>
              <w:autoSpaceDE/>
              <w:autoSpaceDN/>
              <w:adjustRightInd/>
              <w:spacing w:after="0" w:line="240" w:lineRule="auto"/>
              <w:jc w:val="both"/>
              <w:textAlignment w:val="auto"/>
              <w:rPr>
                <w:sz w:val="20"/>
              </w:rPr>
            </w:pPr>
            <w:r w:rsidRPr="00237E1E">
              <w:rPr>
                <w:sz w:val="20"/>
              </w:rPr>
              <w:t>MPO ve spolupráci s MŠMT připraví novelu živnostenského zákona (zákon č. 455/1991 Sb.) s ohledem na aktuální potřeby a požadavky podnikatelské sféry.</w:t>
            </w:r>
          </w:p>
          <w:p w:rsidR="009835E1" w:rsidRDefault="009835E1" w:rsidP="009835E1">
            <w:pPr>
              <w:overflowPunct/>
              <w:autoSpaceDE/>
              <w:autoSpaceDN/>
              <w:adjustRightInd/>
              <w:spacing w:after="0" w:line="240" w:lineRule="auto"/>
              <w:jc w:val="both"/>
              <w:textAlignment w:val="auto"/>
              <w:rPr>
                <w:sz w:val="20"/>
              </w:rPr>
            </w:pPr>
          </w:p>
          <w:p w:rsidR="009835E1" w:rsidRPr="00237E1E" w:rsidRDefault="009835E1" w:rsidP="009835E1">
            <w:pPr>
              <w:overflowPunct/>
              <w:autoSpaceDE/>
              <w:autoSpaceDN/>
              <w:adjustRightInd/>
              <w:spacing w:after="0" w:line="240" w:lineRule="auto"/>
              <w:jc w:val="both"/>
              <w:textAlignment w:val="auto"/>
              <w:rPr>
                <w:sz w:val="20"/>
                <w:highlight w:val="yellow"/>
              </w:rPr>
            </w:pPr>
            <w:r>
              <w:rPr>
                <w:sz w:val="20"/>
              </w:rPr>
              <w:t>V rámci podpory řemesel bude v následujícím roce v</w:t>
            </w:r>
            <w:r w:rsidRPr="00087353">
              <w:rPr>
                <w:sz w:val="20"/>
              </w:rPr>
              <w:t>yhlášen projekt Rok řemesel 2016 – představení spotřebitelům řemesla jako klíčového nástroje pro udržení obslužnosti regionů i zajímavou volbu pro mladou generaci.</w:t>
            </w:r>
            <w:r>
              <w:rPr>
                <w:sz w:val="20"/>
              </w:rPr>
              <w:t xml:space="preserve"> </w:t>
            </w:r>
            <w:r w:rsidRPr="00087353">
              <w:rPr>
                <w:sz w:val="20"/>
              </w:rPr>
              <w:t xml:space="preserve">V průběhu roku 2016 se uskuteční 20 </w:t>
            </w:r>
            <w:r w:rsidRPr="00087353">
              <w:rPr>
                <w:sz w:val="20"/>
              </w:rPr>
              <w:lastRenderedPageBreak/>
              <w:t>regionálních akcí, 2 stěžejní veletrhy s udělením Ocenění za řemeslný počin, spouští se nový řemeslný portál B2C www.rokremesel.cz, ve 2. pololetí se připojuje potravinářsko-agrární sektor s představením svých profesí.</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237E1E">
              <w:rPr>
                <w:sz w:val="20"/>
              </w:rPr>
              <w:lastRenderedPageBreak/>
              <w:t>Příprava návrhu novely zákona o insolvenci tak, aby (nedobrovolné) ukončení podnikání bylo jednodušší</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237E1E">
              <w:rPr>
                <w:sz w:val="20"/>
              </w:rPr>
              <w:t>MSp</w:t>
            </w:r>
            <w:proofErr w:type="spellEnd"/>
          </w:p>
          <w:p w:rsidR="009835E1" w:rsidRPr="00237E1E" w:rsidRDefault="009835E1" w:rsidP="00C954CD">
            <w:pPr>
              <w:overflowPunct/>
              <w:autoSpaceDE/>
              <w:autoSpaceDN/>
              <w:adjustRightInd/>
              <w:spacing w:after="0" w:line="240" w:lineRule="auto"/>
              <w:jc w:val="both"/>
              <w:textAlignment w:val="auto"/>
              <w:rPr>
                <w:sz w:val="20"/>
              </w:rPr>
            </w:pPr>
          </w:p>
          <w:p w:rsidR="009835E1" w:rsidRPr="00C954CD" w:rsidRDefault="009835E1" w:rsidP="00C954CD">
            <w:pPr>
              <w:overflowPunct/>
              <w:autoSpaceDE/>
              <w:autoSpaceDN/>
              <w:adjustRightInd/>
              <w:spacing w:after="0" w:line="240" w:lineRule="auto"/>
              <w:jc w:val="both"/>
              <w:textAlignment w:val="auto"/>
              <w:rPr>
                <w:sz w:val="20"/>
              </w:rPr>
            </w:pP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21000</w:t>
            </w:r>
          </w:p>
        </w:tc>
        <w:tc>
          <w:tcPr>
            <w:tcW w:w="1134" w:type="dxa"/>
          </w:tcPr>
          <w:p w:rsidR="009835E1" w:rsidRPr="00237E1E" w:rsidRDefault="009835E1" w:rsidP="009F1ABD">
            <w:pPr>
              <w:overflowPunct/>
              <w:autoSpaceDE/>
              <w:autoSpaceDN/>
              <w:adjustRightInd/>
              <w:spacing w:after="0" w:line="240" w:lineRule="auto"/>
              <w:textAlignment w:val="auto"/>
              <w:rPr>
                <w:sz w:val="20"/>
              </w:rPr>
            </w:pPr>
            <w:r w:rsidRPr="00237E1E">
              <w:rPr>
                <w:sz w:val="20"/>
              </w:rPr>
              <w:t>12/2016</w:t>
            </w:r>
          </w:p>
          <w:p w:rsidR="009835E1" w:rsidRPr="00237E1E" w:rsidRDefault="009835E1" w:rsidP="009F1ABD">
            <w:pPr>
              <w:overflowPunct/>
              <w:autoSpaceDE/>
              <w:autoSpaceDN/>
              <w:adjustRightInd/>
              <w:spacing w:after="0" w:line="240" w:lineRule="auto"/>
              <w:textAlignment w:val="auto"/>
              <w:rPr>
                <w:sz w:val="20"/>
              </w:rPr>
            </w:pPr>
            <w:r w:rsidRPr="00237E1E">
              <w:rPr>
                <w:sz w:val="20"/>
              </w:rPr>
              <w:t>(přesun z 06/2015)</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D13117">
              <w:rPr>
                <w:sz w:val="20"/>
              </w:rPr>
              <w:t>Nevyžaduje se</w:t>
            </w:r>
          </w:p>
        </w:tc>
        <w:tc>
          <w:tcPr>
            <w:tcW w:w="3090" w:type="dxa"/>
          </w:tcPr>
          <w:p w:rsidR="009835E1" w:rsidRPr="00237E1E" w:rsidRDefault="009835E1" w:rsidP="009835E1">
            <w:pPr>
              <w:overflowPunct/>
              <w:autoSpaceDE/>
              <w:autoSpaceDN/>
              <w:adjustRightInd/>
              <w:spacing w:after="0" w:line="240" w:lineRule="auto"/>
              <w:jc w:val="both"/>
              <w:textAlignment w:val="auto"/>
              <w:rPr>
                <w:sz w:val="20"/>
                <w:highlight w:val="yellow"/>
              </w:rPr>
            </w:pPr>
            <w:r>
              <w:rPr>
                <w:sz w:val="20"/>
              </w:rPr>
              <w:t>Dokončení legislativního procesu</w:t>
            </w:r>
            <w:r w:rsidRPr="00237E1E">
              <w:rPr>
                <w:sz w:val="20"/>
              </w:rPr>
              <w:t xml:space="preserve"> </w:t>
            </w:r>
            <w:r>
              <w:rPr>
                <w:sz w:val="20"/>
              </w:rPr>
              <w:t>novely insolvenčního zákona v gesci</w:t>
            </w:r>
            <w:r w:rsidRPr="00237E1E">
              <w:rPr>
                <w:sz w:val="20"/>
              </w:rPr>
              <w:t xml:space="preserve"> Ministerstv</w:t>
            </w:r>
            <w:r>
              <w:rPr>
                <w:sz w:val="20"/>
              </w:rPr>
              <w:t>a</w:t>
            </w:r>
            <w:r w:rsidRPr="00237E1E">
              <w:rPr>
                <w:sz w:val="20"/>
              </w:rPr>
              <w:t xml:space="preserve"> spravedlnosti - Novela zákona č. 182/2006 Sb., o úpadku a způsobech jeho řešení (insolvenční zákon) -  dokončování všech právních postupů spojených s ukončením činnosti podniků v případě úpadku do jednoho roku, aby znova začínající podniky měly rovné podmínky s podniky novými včetně režimu podpory. </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237E1E">
              <w:rPr>
                <w:sz w:val="20"/>
              </w:rPr>
              <w:t>Příprava návrhu zákona o sociálním podnikání</w:t>
            </w:r>
            <w:r>
              <w:rPr>
                <w:sz w:val="20"/>
              </w:rPr>
              <w:t xml:space="preserve"> a analýza participační ekonomiky</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MPSV</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 ÚV ČR</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12/2016 (přesun z 12/2015)</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237E1E">
              <w:rPr>
                <w:sz w:val="20"/>
              </w:rPr>
              <w:t>Nevyžaduje se</w:t>
            </w:r>
          </w:p>
        </w:tc>
        <w:tc>
          <w:tcPr>
            <w:tcW w:w="3090" w:type="dxa"/>
          </w:tcPr>
          <w:p w:rsidR="009835E1" w:rsidRPr="00237E1E" w:rsidRDefault="009835E1" w:rsidP="009F1ABD">
            <w:pPr>
              <w:overflowPunct/>
              <w:autoSpaceDE/>
              <w:autoSpaceDN/>
              <w:adjustRightInd/>
              <w:spacing w:after="0" w:line="240" w:lineRule="auto"/>
              <w:jc w:val="both"/>
              <w:textAlignment w:val="auto"/>
              <w:rPr>
                <w:sz w:val="20"/>
                <w:highlight w:val="yellow"/>
              </w:rPr>
            </w:pPr>
            <w:r w:rsidRPr="00237E1E">
              <w:rPr>
                <w:sz w:val="20"/>
              </w:rPr>
              <w:t>Cílem připravovaného zákona je zejména vymezení definičních prvků sociálních podniků vč. jejich typů, podmínky vzniku a vedení veřejně přístupného seznamu sociálních podniků, dohled nad ním, podmínky zápisu a některá související práva a povinnosti zapsaných subjektů a některé sankce za porušení podmínek, zmocnění k úpravě kompetenci orgánu vlády, základy koordinované strategie rozvoje sociální ekonomiky a podpory sociálního podnikání. Tento zákon, resp. jasná definice sociálních podniků by umožnila koordinovaně podporovat tento segment podnikatelů ze strany poskytovatelů veřejné podpory. Mj. mezi MPO a MPSV již bylo dosaženo dohody a oba resorty používají stejnou definici sociálního podnikatele.</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237E1E">
              <w:rPr>
                <w:sz w:val="20"/>
              </w:rPr>
              <w:t xml:space="preserve">Poskytování nových poradenských služeb pro inovativní MSP </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61000</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r w:rsidRPr="00C954CD">
              <w:footnoteReference w:id="1"/>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12/2016</w:t>
            </w:r>
          </w:p>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(přesun z 12/2015)</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237E1E">
              <w:rPr>
                <w:sz w:val="20"/>
              </w:rPr>
              <w:t xml:space="preserve">PO2 </w:t>
            </w:r>
            <w:r w:rsidRPr="007533FD">
              <w:rPr>
                <w:sz w:val="20"/>
              </w:rPr>
              <w:t>OP PIK</w:t>
            </w:r>
          </w:p>
        </w:tc>
        <w:tc>
          <w:tcPr>
            <w:tcW w:w="3090" w:type="dxa"/>
          </w:tcPr>
          <w:p w:rsidR="009835E1" w:rsidRPr="00237E1E" w:rsidRDefault="009835E1" w:rsidP="009835E1">
            <w:pPr>
              <w:overflowPunct/>
              <w:autoSpaceDE/>
              <w:autoSpaceDN/>
              <w:adjustRightInd/>
              <w:spacing w:after="0" w:line="240" w:lineRule="auto"/>
              <w:jc w:val="both"/>
              <w:textAlignment w:val="auto"/>
              <w:rPr>
                <w:sz w:val="20"/>
              </w:rPr>
            </w:pPr>
            <w:r w:rsidRPr="00237E1E">
              <w:rPr>
                <w:sz w:val="20"/>
              </w:rPr>
              <w:t xml:space="preserve">Interní projekt agentury </w:t>
            </w:r>
            <w:proofErr w:type="spellStart"/>
            <w:r w:rsidRPr="00237E1E">
              <w:rPr>
                <w:sz w:val="20"/>
              </w:rPr>
              <w:t>CzechInvest</w:t>
            </w:r>
            <w:proofErr w:type="spellEnd"/>
            <w:r w:rsidRPr="00237E1E">
              <w:rPr>
                <w:sz w:val="20"/>
              </w:rPr>
              <w:t xml:space="preserve"> v rámci programu Marketing - Služby pro MSP zaměřené na mezinárodní konkurenceschopnost usnadňující vstup na zahraniční trhy, získání zkušeností s podnikáním v zahraničí, zvýšení schopnosti mezinárodní expanze a posílení </w:t>
            </w:r>
            <w:r w:rsidRPr="00237E1E">
              <w:rPr>
                <w:sz w:val="20"/>
              </w:rPr>
              <w:lastRenderedPageBreak/>
              <w:t>růstových motivací podniků hledajících nové rozvojové příležitosti. Sofistikované poradenské služby expertů. Služby rozvíjející ekosystém pro start-up společnosti, podporu internacionalizace MSP a zvýšení marketingových a manažerských dovedností MSP.</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color w:val="FF0000"/>
                <w:sz w:val="20"/>
              </w:rPr>
            </w:pPr>
            <w:r>
              <w:rPr>
                <w:sz w:val="20"/>
              </w:rPr>
              <w:lastRenderedPageBreak/>
              <w:t>P</w:t>
            </w:r>
            <w:r w:rsidRPr="00237E1E">
              <w:rPr>
                <w:sz w:val="20"/>
              </w:rPr>
              <w:t>odpor</w:t>
            </w:r>
            <w:r>
              <w:rPr>
                <w:sz w:val="20"/>
              </w:rPr>
              <w:t>a</w:t>
            </w:r>
            <w:r w:rsidRPr="00237E1E">
              <w:rPr>
                <w:sz w:val="20"/>
              </w:rPr>
              <w:t xml:space="preserve"> společných výzkumných, vývojových a inovačních aktivit mezi podnikatelskými subjekty a mezi veřejným a podnikovým sektorem</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237E1E">
              <w:rPr>
                <w:sz w:val="20"/>
              </w:rPr>
              <w:t xml:space="preserve">PO1 </w:t>
            </w:r>
            <w:r w:rsidRPr="007533FD">
              <w:rPr>
                <w:sz w:val="20"/>
              </w:rPr>
              <w:t>OP PIK</w:t>
            </w:r>
          </w:p>
        </w:tc>
        <w:tc>
          <w:tcPr>
            <w:tcW w:w="3090" w:type="dxa"/>
          </w:tcPr>
          <w:p w:rsidR="009835E1" w:rsidRPr="00237E1E" w:rsidRDefault="009835E1" w:rsidP="009835E1">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Služby infrastruktury - Hlavním cílem programu je prostřednictvím dotací zkvalitňování služeb podpůrné infrastruktury, která povede ke zvýšení intenzity společných výzkumných, vývojových a inovačních aktivit mezi podnikatelskými subjekty a mezi veřejným a podnikovým sektorem se zaměřením zejména na realizaci nových technologií a konkurenceschopných výrobků a služeb. Tyto aktivity povedou ke zlepšení mezisektorové spolupráce a podmínek pro rozvoj inovačních firem a konkurenční výhody jako zásadního prvku ovlivňujícího efektivitu celého inovačního systému v ČR.</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Pr>
                <w:sz w:val="20"/>
              </w:rPr>
              <w:t>Podpora</w:t>
            </w:r>
            <w:r w:rsidRPr="00237E1E">
              <w:rPr>
                <w:sz w:val="20"/>
              </w:rPr>
              <w:t xml:space="preserve"> </w:t>
            </w:r>
            <w:proofErr w:type="spellStart"/>
            <w:r w:rsidRPr="00237E1E">
              <w:rPr>
                <w:sz w:val="20"/>
              </w:rPr>
              <w:t>předkomerční</w:t>
            </w:r>
            <w:r>
              <w:rPr>
                <w:sz w:val="20"/>
              </w:rPr>
              <w:t>ho</w:t>
            </w:r>
            <w:proofErr w:type="spellEnd"/>
            <w:r w:rsidRPr="00237E1E">
              <w:rPr>
                <w:sz w:val="20"/>
              </w:rPr>
              <w:t xml:space="preserve"> zadávání veřejných zakázek</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237E1E">
              <w:rPr>
                <w:sz w:val="20"/>
              </w:rPr>
              <w:t xml:space="preserve">PO1 </w:t>
            </w:r>
            <w:r w:rsidRPr="007533FD">
              <w:rPr>
                <w:sz w:val="20"/>
              </w:rPr>
              <w:t>OP PIK</w:t>
            </w:r>
          </w:p>
        </w:tc>
        <w:tc>
          <w:tcPr>
            <w:tcW w:w="3090" w:type="dxa"/>
          </w:tcPr>
          <w:p w:rsidR="009835E1" w:rsidRPr="00237E1E" w:rsidRDefault="009835E1" w:rsidP="009835E1">
            <w:pPr>
              <w:overflowPunct/>
              <w:autoSpaceDE/>
              <w:autoSpaceDN/>
              <w:adjustRightInd/>
              <w:spacing w:after="0" w:line="240" w:lineRule="auto"/>
              <w:jc w:val="both"/>
              <w:textAlignment w:val="auto"/>
              <w:rPr>
                <w:sz w:val="20"/>
              </w:rPr>
            </w:pPr>
            <w:r>
              <w:rPr>
                <w:sz w:val="20"/>
              </w:rPr>
              <w:t>Vyhlášení výzvy p</w:t>
            </w:r>
            <w:r w:rsidRPr="00237E1E">
              <w:rPr>
                <w:sz w:val="20"/>
              </w:rPr>
              <w:t xml:space="preserve">rogramu </w:t>
            </w:r>
            <w:proofErr w:type="spellStart"/>
            <w:r w:rsidRPr="00237E1E">
              <w:rPr>
                <w:sz w:val="20"/>
              </w:rPr>
              <w:t>Pre</w:t>
            </w:r>
            <w:proofErr w:type="spellEnd"/>
            <w:r w:rsidRPr="00237E1E">
              <w:rPr>
                <w:sz w:val="20"/>
              </w:rPr>
              <w:t>-</w:t>
            </w:r>
            <w:proofErr w:type="spellStart"/>
            <w:r w:rsidRPr="00237E1E">
              <w:rPr>
                <w:sz w:val="20"/>
              </w:rPr>
              <w:t>commercial</w:t>
            </w:r>
            <w:proofErr w:type="spellEnd"/>
            <w:r w:rsidRPr="00237E1E">
              <w:rPr>
                <w:sz w:val="20"/>
              </w:rPr>
              <w:t xml:space="preserve"> </w:t>
            </w:r>
            <w:proofErr w:type="spellStart"/>
            <w:r w:rsidRPr="00237E1E">
              <w:rPr>
                <w:sz w:val="20"/>
              </w:rPr>
              <w:t>procurement</w:t>
            </w:r>
            <w:proofErr w:type="spellEnd"/>
            <w:r w:rsidRPr="00237E1E">
              <w:rPr>
                <w:sz w:val="20"/>
              </w:rPr>
              <w:t xml:space="preserve"> (PCP): a) Podpora </w:t>
            </w:r>
            <w:proofErr w:type="spellStart"/>
            <w:r w:rsidRPr="00237E1E">
              <w:rPr>
                <w:sz w:val="20"/>
              </w:rPr>
              <w:t>Proof</w:t>
            </w:r>
            <w:proofErr w:type="spellEnd"/>
            <w:r w:rsidRPr="00237E1E">
              <w:rPr>
                <w:sz w:val="20"/>
              </w:rPr>
              <w:t xml:space="preserve"> </w:t>
            </w:r>
            <w:proofErr w:type="spellStart"/>
            <w:r w:rsidRPr="00237E1E">
              <w:rPr>
                <w:sz w:val="20"/>
              </w:rPr>
              <w:t>of</w:t>
            </w:r>
            <w:proofErr w:type="spellEnd"/>
            <w:r w:rsidRPr="00237E1E">
              <w:rPr>
                <w:sz w:val="20"/>
              </w:rPr>
              <w:t xml:space="preserve"> </w:t>
            </w:r>
            <w:proofErr w:type="spellStart"/>
            <w:r w:rsidRPr="00237E1E">
              <w:rPr>
                <w:sz w:val="20"/>
              </w:rPr>
              <w:t>concept</w:t>
            </w:r>
            <w:proofErr w:type="spellEnd"/>
            <w:r w:rsidRPr="00237E1E">
              <w:rPr>
                <w:sz w:val="20"/>
              </w:rPr>
              <w:t xml:space="preserve"> bude řešena samostatným programem, na který je plánovaná alokace cca 42 mil. EUR., b) </w:t>
            </w:r>
            <w:proofErr w:type="spellStart"/>
            <w:r w:rsidRPr="00237E1E">
              <w:rPr>
                <w:sz w:val="20"/>
              </w:rPr>
              <w:t>Předobchodní</w:t>
            </w:r>
            <w:proofErr w:type="spellEnd"/>
            <w:r w:rsidRPr="00237E1E">
              <w:rPr>
                <w:sz w:val="20"/>
              </w:rPr>
              <w:t xml:space="preserve"> zadávání veřejných zakázek bude podporováno rovněž samostatným programem PCP, jehož alokace </w:t>
            </w:r>
            <w:r w:rsidR="009F1ABD">
              <w:rPr>
                <w:sz w:val="20"/>
              </w:rPr>
              <w:t xml:space="preserve">je </w:t>
            </w:r>
            <w:r w:rsidRPr="00237E1E">
              <w:rPr>
                <w:sz w:val="20"/>
              </w:rPr>
              <w:t xml:space="preserve">cca 65 mil. EUR. </w:t>
            </w:r>
          </w:p>
          <w:p w:rsidR="009835E1" w:rsidRPr="00237E1E" w:rsidRDefault="009835E1" w:rsidP="009835E1">
            <w:pPr>
              <w:overflowPunct/>
              <w:autoSpaceDE/>
              <w:autoSpaceDN/>
              <w:adjustRightInd/>
              <w:spacing w:after="0" w:line="240" w:lineRule="auto"/>
              <w:jc w:val="both"/>
              <w:textAlignment w:val="auto"/>
              <w:rPr>
                <w:sz w:val="20"/>
              </w:rPr>
            </w:pPr>
          </w:p>
          <w:p w:rsidR="009835E1" w:rsidRPr="009835E1" w:rsidRDefault="009835E1" w:rsidP="009835E1">
            <w:pPr>
              <w:overflowPunct/>
              <w:autoSpaceDE/>
              <w:autoSpaceDN/>
              <w:adjustRightInd/>
              <w:spacing w:after="0" w:line="240" w:lineRule="auto"/>
              <w:jc w:val="both"/>
              <w:textAlignment w:val="auto"/>
              <w:rPr>
                <w:sz w:val="20"/>
              </w:rPr>
            </w:pPr>
            <w:r w:rsidRPr="00237E1E">
              <w:rPr>
                <w:sz w:val="20"/>
              </w:rPr>
              <w:t>TA ČR zahájila pilotní projekt k </w:t>
            </w:r>
            <w:proofErr w:type="spellStart"/>
            <w:r w:rsidRPr="00237E1E">
              <w:rPr>
                <w:sz w:val="20"/>
              </w:rPr>
              <w:t>předobchodnímu</w:t>
            </w:r>
            <w:proofErr w:type="spellEnd"/>
            <w:r w:rsidRPr="00237E1E">
              <w:rPr>
                <w:sz w:val="20"/>
              </w:rPr>
              <w:t xml:space="preserve"> zadávání veřejných zakázek v rámci programu BETA (programu zakázek ve </w:t>
            </w:r>
            <w:proofErr w:type="spellStart"/>
            <w:r w:rsidRPr="00237E1E">
              <w:rPr>
                <w:sz w:val="20"/>
              </w:rPr>
              <w:t>VaV</w:t>
            </w:r>
            <w:proofErr w:type="spellEnd"/>
            <w:r w:rsidRPr="00237E1E">
              <w:rPr>
                <w:sz w:val="20"/>
              </w:rPr>
              <w:t xml:space="preserve"> pro potřeby státní správy). Způsob řešení zakázky je v oblasti výzkumu a vývoje v ČR zatím ojedinělý, v některých jiných zemích EU však již prokázal možné přínosy.</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237E1E">
              <w:rPr>
                <w:sz w:val="20"/>
              </w:rPr>
              <w:t xml:space="preserve">Vytvoření (celostátního) systému pro využívání inovačních voucherů jako nástroje pro nákup podpůrných služeb a </w:t>
            </w:r>
            <w:r w:rsidRPr="00237E1E">
              <w:rPr>
                <w:sz w:val="20"/>
              </w:rPr>
              <w:lastRenderedPageBreak/>
              <w:t>pro efektivní spolupráci podnikatelské a výzkumné sféry</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lastRenderedPageBreak/>
              <w:t>MPO 61</w:t>
            </w:r>
            <w:r>
              <w:rPr>
                <w:sz w:val="20"/>
              </w:rPr>
              <w:t>0</w:t>
            </w:r>
            <w:r w:rsidRPr="00237E1E">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r w:rsidRPr="00237E1E">
              <w:rPr>
                <w:sz w:val="20"/>
              </w:rPr>
              <w:t>, MPO 31</w:t>
            </w:r>
            <w:r>
              <w:rPr>
                <w:sz w:val="20"/>
              </w:rPr>
              <w:t>0</w:t>
            </w:r>
            <w:r w:rsidRPr="00237E1E">
              <w:rPr>
                <w:sz w:val="20"/>
              </w:rPr>
              <w:t>00</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237E1E">
              <w:rPr>
                <w:sz w:val="20"/>
              </w:rPr>
              <w:t xml:space="preserve">PO1 </w:t>
            </w:r>
            <w:r w:rsidRPr="007533FD">
              <w:rPr>
                <w:sz w:val="20"/>
              </w:rPr>
              <w:t>OP PIK</w:t>
            </w:r>
          </w:p>
        </w:tc>
        <w:tc>
          <w:tcPr>
            <w:tcW w:w="3090" w:type="dxa"/>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Inovační vouchery - Cílem programu je rozvoj komunikace a sdílení poznatků a know-how mezi podnikovou a výzkumnou sférou, které mohou podnikatelské subjekty využít pro zahájení či </w:t>
            </w:r>
            <w:r w:rsidRPr="00237E1E">
              <w:rPr>
                <w:sz w:val="20"/>
              </w:rPr>
              <w:lastRenderedPageBreak/>
              <w:t>zintenzivnění vlastních inovačních aktivit. Obecným cílem programu je nárůst interakcí mezi podniky a organizacemi pro výzkum a šíření znalostí s přímým dopadem na posílení konkurenceschopnosti MSP.</w:t>
            </w:r>
          </w:p>
          <w:p w:rsidR="009835E1" w:rsidRPr="00237E1E" w:rsidRDefault="009835E1" w:rsidP="00F54698">
            <w:pPr>
              <w:overflowPunct/>
              <w:autoSpaceDE/>
              <w:autoSpaceDN/>
              <w:adjustRightInd/>
              <w:spacing w:after="0" w:line="240" w:lineRule="auto"/>
              <w:jc w:val="both"/>
              <w:textAlignment w:val="auto"/>
              <w:rPr>
                <w:sz w:val="20"/>
              </w:rPr>
            </w:pPr>
          </w:p>
          <w:p w:rsidR="009835E1" w:rsidRPr="00F54698" w:rsidRDefault="009835E1" w:rsidP="00F54698">
            <w:pPr>
              <w:overflowPunct/>
              <w:autoSpaceDE/>
              <w:autoSpaceDN/>
              <w:adjustRightInd/>
              <w:spacing w:after="0" w:line="240" w:lineRule="auto"/>
              <w:jc w:val="both"/>
              <w:textAlignment w:val="auto"/>
              <w:rPr>
                <w:sz w:val="20"/>
              </w:rPr>
            </w:pPr>
            <w:r w:rsidRPr="00237E1E">
              <w:rPr>
                <w:sz w:val="20"/>
              </w:rPr>
              <w:t>V souladu s národní iniciativou Průmysl 4.0 - výzva pro organizaci a řízení aplikovaného výzkumu v ČR podporuje vytváření start-</w:t>
            </w:r>
            <w:proofErr w:type="spellStart"/>
            <w:r w:rsidRPr="00237E1E">
              <w:rPr>
                <w:sz w:val="20"/>
              </w:rPr>
              <w:t>upových</w:t>
            </w:r>
            <w:proofErr w:type="spellEnd"/>
            <w:r w:rsidRPr="00237E1E">
              <w:rPr>
                <w:sz w:val="20"/>
              </w:rPr>
              <w:t xml:space="preserve"> firem, kterým je třeba poskytnout preferenční výhody. Veřejná podpora aplikovaného výzkumu musí být koncentrována a koordinována na národní úrovni.</w:t>
            </w:r>
          </w:p>
        </w:tc>
      </w:tr>
      <w:tr w:rsidR="009835E1" w:rsidRPr="00283744" w:rsidTr="009835E1">
        <w:tc>
          <w:tcPr>
            <w:tcW w:w="2269" w:type="dxa"/>
          </w:tcPr>
          <w:p w:rsidR="009835E1" w:rsidRPr="00237E1E" w:rsidRDefault="009835E1" w:rsidP="009835E1">
            <w:pPr>
              <w:numPr>
                <w:ilvl w:val="0"/>
                <w:numId w:val="10"/>
              </w:numPr>
              <w:overflowPunct/>
              <w:autoSpaceDE/>
              <w:autoSpaceDN/>
              <w:adjustRightInd/>
              <w:spacing w:after="0" w:line="240" w:lineRule="auto"/>
              <w:textAlignment w:val="auto"/>
              <w:rPr>
                <w:sz w:val="20"/>
              </w:rPr>
            </w:pPr>
            <w:r w:rsidRPr="00EF1E16">
              <w:rPr>
                <w:sz w:val="20"/>
              </w:rPr>
              <w:lastRenderedPageBreak/>
              <w:t xml:space="preserve">Podpora rozvoje začínajících inovativních firem </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EF1E16">
              <w:rPr>
                <w:sz w:val="20"/>
              </w:rPr>
              <w:t>CzechInvest</w:t>
            </w:r>
            <w:proofErr w:type="spellEnd"/>
          </w:p>
        </w:tc>
        <w:tc>
          <w:tcPr>
            <w:tcW w:w="1276" w:type="dxa"/>
          </w:tcPr>
          <w:p w:rsidR="009835E1" w:rsidRPr="00EF1E16" w:rsidRDefault="009835E1" w:rsidP="00C954CD">
            <w:pPr>
              <w:overflowPunct/>
              <w:autoSpaceDE/>
              <w:autoSpaceDN/>
              <w:adjustRightInd/>
              <w:spacing w:after="0" w:line="240" w:lineRule="auto"/>
              <w:jc w:val="both"/>
              <w:textAlignment w:val="auto"/>
              <w:rPr>
                <w:sz w:val="20"/>
              </w:rPr>
            </w:pPr>
            <w:r w:rsidRPr="00EF1E16">
              <w:rPr>
                <w:sz w:val="20"/>
              </w:rPr>
              <w:t>MPO 61000</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Pr>
                <w:sz w:val="20"/>
              </w:rPr>
              <w:t>3</w:t>
            </w:r>
            <w:r w:rsidRPr="00EF1E16">
              <w:rPr>
                <w:sz w:val="20"/>
              </w:rPr>
              <w:t>/2016</w:t>
            </w:r>
          </w:p>
        </w:tc>
        <w:tc>
          <w:tcPr>
            <w:tcW w:w="1276" w:type="dxa"/>
          </w:tcPr>
          <w:p w:rsidR="009835E1" w:rsidRPr="00EF1E16" w:rsidRDefault="009835E1" w:rsidP="00C954CD">
            <w:pPr>
              <w:overflowPunct/>
              <w:autoSpaceDE/>
              <w:autoSpaceDN/>
              <w:adjustRightInd/>
              <w:spacing w:line="240" w:lineRule="auto"/>
              <w:textAlignment w:val="auto"/>
              <w:rPr>
                <w:sz w:val="20"/>
              </w:rPr>
            </w:pPr>
            <w:r w:rsidRPr="00EF1E16">
              <w:rPr>
                <w:sz w:val="20"/>
              </w:rPr>
              <w:t>Rozpočet MPO, obrátkové fondy</w:t>
            </w:r>
          </w:p>
          <w:p w:rsidR="009835E1" w:rsidRPr="00EF1E16" w:rsidRDefault="00827B3F" w:rsidP="00C954CD">
            <w:pPr>
              <w:overflowPunct/>
              <w:autoSpaceDE/>
              <w:autoSpaceDN/>
              <w:adjustRightInd/>
              <w:spacing w:line="240" w:lineRule="auto"/>
              <w:textAlignment w:val="auto"/>
              <w:rPr>
                <w:sz w:val="20"/>
              </w:rPr>
            </w:pPr>
            <w:r>
              <w:rPr>
                <w:sz w:val="20"/>
              </w:rPr>
              <w:t>MD ČR prostřednictvím ESA</w:t>
            </w:r>
          </w:p>
          <w:p w:rsidR="009835E1" w:rsidRPr="00237E1E" w:rsidRDefault="009835E1" w:rsidP="00C954CD">
            <w:pPr>
              <w:overflowPunct/>
              <w:autoSpaceDE/>
              <w:autoSpaceDN/>
              <w:adjustRightInd/>
              <w:spacing w:after="0" w:line="240" w:lineRule="auto"/>
              <w:textAlignment w:val="auto"/>
              <w:rPr>
                <w:sz w:val="20"/>
              </w:rPr>
            </w:pPr>
            <w:proofErr w:type="spellStart"/>
            <w:r w:rsidRPr="00EF1E16">
              <w:rPr>
                <w:sz w:val="20"/>
              </w:rPr>
              <w:t>Hl.m</w:t>
            </w:r>
            <w:proofErr w:type="spellEnd"/>
            <w:r w:rsidRPr="00EF1E16">
              <w:rPr>
                <w:sz w:val="20"/>
              </w:rPr>
              <w:t>. Praha</w:t>
            </w:r>
          </w:p>
        </w:tc>
        <w:tc>
          <w:tcPr>
            <w:tcW w:w="3090" w:type="dxa"/>
          </w:tcPr>
          <w:p w:rsidR="009835E1" w:rsidRDefault="009835E1" w:rsidP="00F54698">
            <w:pPr>
              <w:overflowPunct/>
              <w:autoSpaceDE/>
              <w:autoSpaceDN/>
              <w:adjustRightInd/>
              <w:spacing w:after="0" w:line="240" w:lineRule="auto"/>
              <w:jc w:val="both"/>
              <w:textAlignment w:val="auto"/>
              <w:rPr>
                <w:sz w:val="20"/>
              </w:rPr>
            </w:pPr>
            <w:r w:rsidRPr="00EF1E16">
              <w:rPr>
                <w:sz w:val="20"/>
              </w:rPr>
              <w:t>ESA BIC Prague – projekt podnikatelského inkubátoru pro začínající firmy (start-</w:t>
            </w:r>
            <w:proofErr w:type="spellStart"/>
            <w:r w:rsidRPr="00EF1E16">
              <w:rPr>
                <w:sz w:val="20"/>
              </w:rPr>
              <w:t>upy</w:t>
            </w:r>
            <w:proofErr w:type="spellEnd"/>
            <w:r w:rsidRPr="00EF1E16">
              <w:rPr>
                <w:sz w:val="20"/>
              </w:rPr>
              <w:t xml:space="preserve">) zaměřené na přenos vesmírných technologií či systémů do terestriálních aplikací. ČR bude začleněna do sítě inkubátorů Evropské kosmické agentury. </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237E1E">
              <w:rPr>
                <w:sz w:val="20"/>
              </w:rPr>
              <w:t>Spolupráce na novele zákona o veřejných zakázkách s cílem usnadnit účast MSP na veřejných zakázkách</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10000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61000,</w:t>
            </w:r>
          </w:p>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MMR</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Pr>
                <w:sz w:val="20"/>
              </w:rPr>
              <w:t>12</w:t>
            </w:r>
            <w:r w:rsidRPr="00237E1E">
              <w:rPr>
                <w:sz w:val="20"/>
              </w:rPr>
              <w:t>/2016</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D13117">
              <w:rPr>
                <w:sz w:val="20"/>
              </w:rPr>
              <w:t>Nevyžaduje se</w:t>
            </w:r>
          </w:p>
        </w:tc>
        <w:tc>
          <w:tcPr>
            <w:tcW w:w="3090" w:type="dxa"/>
            <w:shd w:val="clear" w:color="auto" w:fill="auto"/>
          </w:tcPr>
          <w:p w:rsidR="009835E1" w:rsidRPr="00F54698" w:rsidRDefault="009835E1" w:rsidP="00F54698">
            <w:pPr>
              <w:overflowPunct/>
              <w:autoSpaceDE/>
              <w:autoSpaceDN/>
              <w:adjustRightInd/>
              <w:spacing w:after="0" w:line="240" w:lineRule="auto"/>
              <w:jc w:val="both"/>
              <w:textAlignment w:val="auto"/>
              <w:rPr>
                <w:sz w:val="20"/>
              </w:rPr>
            </w:pPr>
            <w:r w:rsidRPr="00237E1E">
              <w:rPr>
                <w:sz w:val="20"/>
              </w:rPr>
              <w:t>Zavedení povinnosti užívání národního elektronického nástroje (NEN) pro usnadnění přístupu MSP k veřejným zakázkám.</w:t>
            </w:r>
          </w:p>
        </w:tc>
      </w:tr>
      <w:tr w:rsidR="009835E1" w:rsidRPr="00283744" w:rsidTr="009835E1">
        <w:trPr>
          <w:trHeight w:val="2582"/>
        </w:trPr>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237E1E">
              <w:rPr>
                <w:sz w:val="20"/>
              </w:rPr>
              <w:t>Podpora ochran</w:t>
            </w:r>
            <w:r>
              <w:rPr>
                <w:sz w:val="20"/>
              </w:rPr>
              <w:t>y</w:t>
            </w:r>
            <w:r w:rsidRPr="00237E1E">
              <w:rPr>
                <w:sz w:val="20"/>
              </w:rPr>
              <w:t xml:space="preserve"> práv průmyslového vlastnictví</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Pr>
                <w:sz w:val="20"/>
              </w:rPr>
              <w:t xml:space="preserve"> 12</w:t>
            </w:r>
            <w:r w:rsidRPr="00237E1E">
              <w:rPr>
                <w:sz w:val="20"/>
              </w:rPr>
              <w:t>/2016</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PO1 </w:t>
            </w:r>
            <w:r w:rsidRPr="007533FD">
              <w:rPr>
                <w:sz w:val="20"/>
              </w:rPr>
              <w:t>OP PIK</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Inovace - Projekt na ochranu práv průmyslového vlastnictví podporuje získání průmyslově-právní ochrany nehmotných statků v podobě patentů, užitných vzorů, průmyslových vzorů a ochranných známek. Zájemci budou moci v rámci programu získat podporu na výdaje za patentové zástupce, správní poplatky a překlady.</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P</w:t>
            </w:r>
            <w:r w:rsidRPr="00237E1E">
              <w:rPr>
                <w:sz w:val="20"/>
              </w:rPr>
              <w:t>odpor</w:t>
            </w:r>
            <w:r>
              <w:rPr>
                <w:sz w:val="20"/>
              </w:rPr>
              <w:t>a</w:t>
            </w:r>
            <w:r w:rsidRPr="00237E1E">
              <w:rPr>
                <w:sz w:val="20"/>
              </w:rPr>
              <w:t xml:space="preserve"> inovačního potenciálu a aktivity MSP</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PO1 </w:t>
            </w:r>
            <w:r w:rsidRPr="007533FD">
              <w:rPr>
                <w:sz w:val="20"/>
              </w:rPr>
              <w:t>OP PIK</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Inovace - Cílem je posílení inovační výkonnosti domácích firem a zvýšení jejich konkurenceschopnosti prostřednictvím zvýšení využívání unikátních know-how z větší či menší části vzniklých ve spolupráci s akademickým a výzkumným sektorem, rozšíření know-how firem pro vlastní inovace, zvýšení efektivnosti interních procesů v oblasti řízení inovací, tak aby došlo </w:t>
            </w:r>
            <w:r w:rsidRPr="00237E1E">
              <w:rPr>
                <w:sz w:val="20"/>
              </w:rPr>
              <w:lastRenderedPageBreak/>
              <w:t xml:space="preserve">k nárůstu počtu firem především místního původu v pozici technologických lídrů, k tvorbě a zavádění nových konkurenceschopných produktů na globální trh a posílení schopností firem v oblasti </w:t>
            </w:r>
            <w:proofErr w:type="spellStart"/>
            <w:r w:rsidRPr="00237E1E">
              <w:rPr>
                <w:sz w:val="20"/>
              </w:rPr>
              <w:t>high</w:t>
            </w:r>
            <w:proofErr w:type="spellEnd"/>
            <w:r w:rsidRPr="00237E1E">
              <w:rPr>
                <w:sz w:val="20"/>
              </w:rPr>
              <w:t>-</w:t>
            </w:r>
            <w:proofErr w:type="spellStart"/>
            <w:r w:rsidRPr="00237E1E">
              <w:rPr>
                <w:sz w:val="20"/>
              </w:rPr>
              <w:t>tech</w:t>
            </w:r>
            <w:proofErr w:type="spellEnd"/>
            <w:r w:rsidRPr="00237E1E">
              <w:rPr>
                <w:sz w:val="20"/>
              </w:rPr>
              <w:t xml:space="preserve"> výroby. Podporovány budou inovace vyšších řádů, konkrétně pak inovace V. řádu a vyšší.</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237E1E">
              <w:rPr>
                <w:sz w:val="20"/>
              </w:rPr>
              <w:lastRenderedPageBreak/>
              <w:t>Podpora poradenských služeb pro zlepšení strategického a ekonomického řízení MSP</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MPO </w:t>
            </w:r>
            <w:r>
              <w:rPr>
                <w:sz w:val="20"/>
              </w:rPr>
              <w:t>61000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PO2 </w:t>
            </w:r>
            <w:r w:rsidRPr="00F504BE">
              <w:rPr>
                <w:sz w:val="20"/>
              </w:rPr>
              <w:t>OP PIK</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Poradenství - Cílem je poskytování základních poradenských služeb a služeb prostřednictvím externích poradců oprávněných k této činnosti podle platných právních předpisů. Poskytování základních poradenských služeb a služeb pro MSP bude zaměřeno na začínající firmy v oblasti výroby, stavebnictví, obchodu a služeb s cílem podpořit zvýšení počtu nových podnikatelů a konkurenceschopnosti začínajících MSP v hospodářsky problémových regionech.</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Podpora</w:t>
            </w:r>
            <w:r w:rsidRPr="00237E1E">
              <w:rPr>
                <w:sz w:val="20"/>
              </w:rPr>
              <w:t xml:space="preserve"> zkvalitnění infrastruktury pro rozvoj lidských zdrojů s důrazem na technické vzdělávání</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MPO </w:t>
            </w:r>
            <w:r>
              <w:rPr>
                <w:sz w:val="20"/>
              </w:rPr>
              <w:t>61000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PO2 </w:t>
            </w:r>
            <w:r w:rsidRPr="00F504BE">
              <w:rPr>
                <w:sz w:val="20"/>
              </w:rPr>
              <w:t>OP PIK</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Školicí střediska - Cílem programu je rozvoj nové a využití stávající infrastruktury pro vzdělávání a rozvoj lidských zdrojů v podnikatelském sektoru s možností využití této infrastruktury pro potřeby odborné přípravy v počátečním technickém vzdělávání. Prostřednictvím výše uvedeného dojde k vytvoření odpovídajících materiálních kapacit MSP pro zajištění činností souvisejících s odborným vzděláváním, ke zvýšení produktivity práce v sektoru MSP, ke zvýšení podílu osob v produktivním věku účastnících se dalšího odborného vzdělávání a dále ke zvýšení inovačních aktivit MSP v důsledku lepší dostupnosti kvalifikovaných lidských zdrojů.</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 xml:space="preserve">Podpora </w:t>
            </w:r>
            <w:r w:rsidRPr="00237E1E">
              <w:rPr>
                <w:sz w:val="20"/>
              </w:rPr>
              <w:t>zvýšení intenzity a účinnosti spolupráce ve výzkumu, vývoji a inovacích</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p w:rsidR="009835E1" w:rsidRPr="00237E1E" w:rsidRDefault="009835E1" w:rsidP="00C954CD">
            <w:pPr>
              <w:overflowPunct/>
              <w:autoSpaceDE/>
              <w:autoSpaceDN/>
              <w:adjustRightInd/>
              <w:spacing w:after="0" w:line="240" w:lineRule="auto"/>
              <w:jc w:val="both"/>
              <w:textAlignment w:val="auto"/>
              <w:rPr>
                <w:sz w:val="20"/>
              </w:rPr>
            </w:pP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 xml:space="preserve">PO1 </w:t>
            </w:r>
            <w:r w:rsidRPr="00F504BE">
              <w:rPr>
                <w:sz w:val="20"/>
              </w:rPr>
              <w:t>OP PIK</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Partnerství znalostního transferu - Vytvoření partnerství mezi MSP a výzkumnou organizací za účelem transferu znalostí, souvisejících technologií a dovedností, ke kterým podnik nemá přístup.</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964DD1">
              <w:rPr>
                <w:sz w:val="20"/>
              </w:rPr>
              <w:t xml:space="preserve">Propagace vyššího zapojení podniků do spolupráce se </w:t>
            </w:r>
            <w:r w:rsidRPr="00964DD1">
              <w:rPr>
                <w:sz w:val="20"/>
              </w:rPr>
              <w:lastRenderedPageBreak/>
              <w:t>školami a zapojení aktuálních a zaměstnavateli skutečně využívaných technologií do výuky</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lastRenderedPageBreak/>
              <w:t xml:space="preserve">MPO </w:t>
            </w:r>
            <w:r>
              <w:rPr>
                <w:sz w:val="20"/>
              </w:rPr>
              <w:t>31000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MF</w:t>
            </w:r>
            <w:r>
              <w:rPr>
                <w:sz w:val="20"/>
              </w:rPr>
              <w:t>, MŠMT</w:t>
            </w:r>
          </w:p>
        </w:tc>
        <w:tc>
          <w:tcPr>
            <w:tcW w:w="1134" w:type="dxa"/>
          </w:tcPr>
          <w:p w:rsidR="009835E1" w:rsidRPr="00237E1E" w:rsidRDefault="009835E1" w:rsidP="00C954CD">
            <w:pPr>
              <w:overflowPunct/>
              <w:autoSpaceDE/>
              <w:autoSpaceDN/>
              <w:adjustRightInd/>
              <w:spacing w:after="0" w:line="240" w:lineRule="auto"/>
              <w:jc w:val="both"/>
              <w:textAlignment w:val="auto"/>
              <w:rPr>
                <w:sz w:val="20"/>
              </w:rPr>
            </w:pPr>
            <w:r>
              <w:rPr>
                <w:sz w:val="20"/>
              </w:rPr>
              <w:t>Průběžně</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Pr>
                <w:sz w:val="20"/>
              </w:rPr>
              <w:t>Daňové úlevy</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sidRPr="00964DD1">
              <w:rPr>
                <w:sz w:val="20"/>
              </w:rPr>
              <w:t xml:space="preserve">Propagace spolupráce škol a zaměstnavatelů skrze sektorové dohody a využívání stávajících </w:t>
            </w:r>
            <w:r w:rsidRPr="00964DD1">
              <w:rPr>
                <w:sz w:val="20"/>
              </w:rPr>
              <w:lastRenderedPageBreak/>
              <w:t>daňových úlev</w:t>
            </w:r>
            <w:r w:rsidR="006C1B67">
              <w:rPr>
                <w:sz w:val="20"/>
              </w:rPr>
              <w:t>.</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lastRenderedPageBreak/>
              <w:t>Podpora</w:t>
            </w:r>
            <w:r w:rsidRPr="00237E1E">
              <w:rPr>
                <w:sz w:val="20"/>
              </w:rPr>
              <w:t xml:space="preserve"> podnikatelské infrastruktury vč. </w:t>
            </w:r>
            <w:proofErr w:type="spellStart"/>
            <w:r w:rsidRPr="00237E1E">
              <w:rPr>
                <w:sz w:val="20"/>
              </w:rPr>
              <w:t>brownfieldů</w:t>
            </w:r>
            <w:proofErr w:type="spellEnd"/>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sidRPr="00237E1E">
              <w:rPr>
                <w:sz w:val="20"/>
              </w:rPr>
              <w:t xml:space="preserve">PO2 </w:t>
            </w:r>
            <w:r w:rsidRPr="00F504BE">
              <w:rPr>
                <w:sz w:val="20"/>
              </w:rPr>
              <w:t>OP PIK</w:t>
            </w:r>
          </w:p>
        </w:tc>
        <w:tc>
          <w:tcPr>
            <w:tcW w:w="3090" w:type="dxa"/>
            <w:shd w:val="clear" w:color="auto" w:fill="auto"/>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Nemovitosti - Podporovanými aktivitami jsou modernizace výrobních provozů a rekonstrukce stávající zastaralé infrastruktury a rekonstrukce objektů typu </w:t>
            </w:r>
            <w:proofErr w:type="spellStart"/>
            <w:r w:rsidRPr="00237E1E">
              <w:rPr>
                <w:sz w:val="20"/>
              </w:rPr>
              <w:t>brownfield</w:t>
            </w:r>
            <w:proofErr w:type="spellEnd"/>
            <w:r w:rsidRPr="00237E1E">
              <w:rPr>
                <w:sz w:val="20"/>
              </w:rPr>
              <w:t xml:space="preserve"> a jejich přeměna na moderní podnikatelské objekty. V rámci programu bude možné podpořit investice do stavebních úprav včetně demolice původních staveb a výstavby novostaveb.</w:t>
            </w:r>
          </w:p>
        </w:tc>
      </w:tr>
      <w:tr w:rsidR="009835E1" w:rsidRPr="00283744" w:rsidTr="009835E1">
        <w:tc>
          <w:tcPr>
            <w:tcW w:w="2269" w:type="dxa"/>
          </w:tcPr>
          <w:p w:rsidR="009835E1" w:rsidRPr="00237E1E"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Podpora</w:t>
            </w:r>
            <w:r w:rsidRPr="00237E1E">
              <w:rPr>
                <w:sz w:val="20"/>
              </w:rPr>
              <w:t xml:space="preserve"> zvýšení inovační výkonnosti podniků</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37E1E">
              <w:rPr>
                <w:sz w:val="20"/>
              </w:rPr>
              <w:t>MPO 61</w:t>
            </w:r>
            <w:r>
              <w:rPr>
                <w:sz w:val="20"/>
              </w:rPr>
              <w:t>0</w:t>
            </w:r>
            <w:r w:rsidRPr="00237E1E">
              <w:rPr>
                <w:sz w:val="20"/>
              </w:rPr>
              <w:t>00</w:t>
            </w:r>
          </w:p>
          <w:p w:rsidR="009835E1" w:rsidRPr="00237E1E" w:rsidRDefault="009835E1" w:rsidP="00C954CD">
            <w:pPr>
              <w:overflowPunct/>
              <w:autoSpaceDE/>
              <w:autoSpaceDN/>
              <w:adjustRightInd/>
              <w:spacing w:after="0" w:line="240" w:lineRule="auto"/>
              <w:jc w:val="both"/>
              <w:textAlignment w:val="auto"/>
              <w:rPr>
                <w:sz w:val="20"/>
              </w:rPr>
            </w:pP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sidRPr="00237E1E">
              <w:rPr>
                <w:sz w:val="20"/>
              </w:rPr>
              <w:t xml:space="preserve">PO1 </w:t>
            </w:r>
            <w:r w:rsidRPr="00F504BE">
              <w:rPr>
                <w:sz w:val="20"/>
              </w:rPr>
              <w:t>OP PIK</w:t>
            </w:r>
          </w:p>
        </w:tc>
        <w:tc>
          <w:tcPr>
            <w:tcW w:w="3090" w:type="dxa"/>
          </w:tcPr>
          <w:p w:rsidR="009835E1" w:rsidRPr="00237E1E" w:rsidRDefault="009835E1" w:rsidP="00F54698">
            <w:pPr>
              <w:overflowPunct/>
              <w:autoSpaceDE/>
              <w:autoSpaceDN/>
              <w:adjustRightInd/>
              <w:spacing w:after="0" w:line="240" w:lineRule="auto"/>
              <w:jc w:val="both"/>
              <w:textAlignment w:val="auto"/>
              <w:rPr>
                <w:sz w:val="20"/>
              </w:rPr>
            </w:pPr>
            <w:r>
              <w:rPr>
                <w:sz w:val="20"/>
              </w:rPr>
              <w:t>Vyhlášení výzvy p</w:t>
            </w:r>
            <w:r w:rsidRPr="00237E1E">
              <w:rPr>
                <w:sz w:val="20"/>
              </w:rPr>
              <w:t>rogram</w:t>
            </w:r>
            <w:r>
              <w:rPr>
                <w:sz w:val="20"/>
              </w:rPr>
              <w:t>u</w:t>
            </w:r>
            <w:r w:rsidRPr="00237E1E">
              <w:rPr>
                <w:sz w:val="20"/>
              </w:rPr>
              <w:t xml:space="preserve"> Potenciál - Podpor</w:t>
            </w:r>
            <w:r>
              <w:rPr>
                <w:sz w:val="20"/>
              </w:rPr>
              <w:t>a</w:t>
            </w:r>
            <w:r w:rsidRPr="00237E1E">
              <w:rPr>
                <w:sz w:val="20"/>
              </w:rPr>
              <w:t xml:space="preserve"> založení nebo rozvoj</w:t>
            </w:r>
            <w:r>
              <w:rPr>
                <w:sz w:val="20"/>
              </w:rPr>
              <w:t>e</w:t>
            </w:r>
            <w:r w:rsidRPr="00237E1E">
              <w:rPr>
                <w:sz w:val="20"/>
              </w:rPr>
              <w:t xml:space="preserve"> center průmyslového výzkumu, vývoje a inovací spočívající v pořízení pozemků, budov, strojů/zařízení a jiného vybavení centra nezbytného pro zajištění aktivit tohoto centra; u MSP jsou předmětem podpory i vybrané provozní náklady centra.</w:t>
            </w:r>
          </w:p>
        </w:tc>
      </w:tr>
      <w:tr w:rsidR="009835E1" w:rsidRPr="00283744" w:rsidTr="009835E1">
        <w:tc>
          <w:tcPr>
            <w:tcW w:w="2269" w:type="dxa"/>
          </w:tcPr>
          <w:p w:rsidR="009835E1"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5E43A7">
              <w:rPr>
                <w:sz w:val="20"/>
              </w:rPr>
              <w:t>Podpora propagace technického vzdělávání, technických oborů a řemesel</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5E43A7">
              <w:rPr>
                <w:sz w:val="20"/>
              </w:rPr>
              <w:t>MPO 31000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r w:rsidRPr="005E43A7">
              <w:rPr>
                <w:sz w:val="20"/>
              </w:rPr>
              <w:t>MPO 10</w:t>
            </w:r>
            <w:r>
              <w:rPr>
                <w:sz w:val="20"/>
              </w:rPr>
              <w:t>0</w:t>
            </w:r>
            <w:r w:rsidRPr="005E43A7">
              <w:rPr>
                <w:sz w:val="20"/>
              </w:rPr>
              <w:t>00</w:t>
            </w:r>
            <w:r>
              <w:rPr>
                <w:sz w:val="20"/>
              </w:rPr>
              <w:t xml:space="preserve">, </w:t>
            </w:r>
            <w:r w:rsidRPr="00C954CD">
              <w:rPr>
                <w:sz w:val="20"/>
              </w:rPr>
              <w:t>MŠMT</w:t>
            </w: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Pr>
                <w:sz w:val="20"/>
              </w:rPr>
              <w:t>Průběžně</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Pr>
                <w:sz w:val="20"/>
              </w:rPr>
              <w:t>Státní rozpočet (nový nárok)</w:t>
            </w:r>
          </w:p>
        </w:tc>
        <w:tc>
          <w:tcPr>
            <w:tcW w:w="3090" w:type="dxa"/>
          </w:tcPr>
          <w:p w:rsidR="009835E1" w:rsidRDefault="009835E1" w:rsidP="00F54698">
            <w:pPr>
              <w:overflowPunct/>
              <w:autoSpaceDE/>
              <w:autoSpaceDN/>
              <w:adjustRightInd/>
              <w:spacing w:after="0" w:line="240" w:lineRule="auto"/>
              <w:jc w:val="both"/>
              <w:textAlignment w:val="auto"/>
              <w:rPr>
                <w:sz w:val="20"/>
              </w:rPr>
            </w:pPr>
            <w:r w:rsidRPr="005E43A7">
              <w:rPr>
                <w:sz w:val="20"/>
              </w:rPr>
              <w:t>Podpora (finanční i nefinanční) různých soutěží, přehlídek v odborných dovednostech žáků, konferencí a dalších akcí, které propagují technické vzdělávání, technické obory a řemesla.</w:t>
            </w:r>
          </w:p>
        </w:tc>
      </w:tr>
      <w:tr w:rsidR="009835E1" w:rsidRPr="00283744" w:rsidTr="009835E1">
        <w:tc>
          <w:tcPr>
            <w:tcW w:w="2269" w:type="dxa"/>
          </w:tcPr>
          <w:p w:rsidR="009835E1"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Realizace prvních projektů v rámci programu TRIO</w:t>
            </w:r>
            <w:r w:rsidRPr="00B23F3B">
              <w:rPr>
                <w:sz w:val="20"/>
              </w:rPr>
              <w:t>- rozvoj potenciálu ČR v oblas</w:t>
            </w:r>
            <w:r>
              <w:rPr>
                <w:sz w:val="20"/>
              </w:rPr>
              <w:t>ti klíčových technologií „</w:t>
            </w:r>
            <w:proofErr w:type="spellStart"/>
            <w:r>
              <w:rPr>
                <w:sz w:val="20"/>
              </w:rPr>
              <w:t>KETs</w:t>
            </w:r>
            <w:proofErr w:type="spellEnd"/>
            <w:r>
              <w:rPr>
                <w:sz w:val="20"/>
              </w:rPr>
              <w:t>“</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2F45DB">
              <w:rPr>
                <w:sz w:val="20"/>
              </w:rPr>
              <w:t>MPO 61</w:t>
            </w:r>
            <w:r>
              <w:rPr>
                <w:sz w:val="20"/>
              </w:rPr>
              <w:t>0</w:t>
            </w:r>
            <w:r w:rsidRPr="002F45DB">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Pr>
                <w:sz w:val="20"/>
              </w:rPr>
              <w:t>Průběžně</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Pr>
                <w:sz w:val="20"/>
              </w:rPr>
              <w:t>Rozpočet MPO</w:t>
            </w:r>
          </w:p>
        </w:tc>
        <w:tc>
          <w:tcPr>
            <w:tcW w:w="3090" w:type="dxa"/>
          </w:tcPr>
          <w:p w:rsidR="009835E1" w:rsidRDefault="009835E1" w:rsidP="00F54698">
            <w:pPr>
              <w:overflowPunct/>
              <w:autoSpaceDE/>
              <w:autoSpaceDN/>
              <w:adjustRightInd/>
              <w:spacing w:after="0" w:line="240" w:lineRule="auto"/>
              <w:jc w:val="both"/>
              <w:textAlignment w:val="auto"/>
              <w:rPr>
                <w:sz w:val="20"/>
              </w:rPr>
            </w:pPr>
            <w:r>
              <w:rPr>
                <w:sz w:val="20"/>
              </w:rPr>
              <w:t>P</w:t>
            </w:r>
            <w:r w:rsidRPr="0065467B">
              <w:rPr>
                <w:sz w:val="20"/>
              </w:rPr>
              <w:t>rogram podpory apli</w:t>
            </w:r>
            <w:r>
              <w:rPr>
                <w:sz w:val="20"/>
              </w:rPr>
              <w:t>kovaného výzkumu s názvem TRIO byl vytvořen z</w:t>
            </w:r>
            <w:r w:rsidRPr="00B23F3B">
              <w:rPr>
                <w:sz w:val="20"/>
              </w:rPr>
              <w:t xml:space="preserve">a účelem podpory komercionalizace výsledků </w:t>
            </w:r>
            <w:proofErr w:type="spellStart"/>
            <w:r w:rsidRPr="00B23F3B">
              <w:rPr>
                <w:sz w:val="20"/>
              </w:rPr>
              <w:t>VaVaI</w:t>
            </w:r>
            <w:proofErr w:type="spellEnd"/>
            <w:r w:rsidRPr="00B23F3B">
              <w:rPr>
                <w:sz w:val="20"/>
              </w:rPr>
              <w:t xml:space="preserve"> a také s ohledem na strukturu a vývoj hospodářství ČR směrem k produkci s vyšší přidanou hodnotou</w:t>
            </w:r>
            <w:r>
              <w:rPr>
                <w:sz w:val="20"/>
              </w:rPr>
              <w:t>.</w:t>
            </w:r>
          </w:p>
          <w:p w:rsidR="009835E1" w:rsidRPr="0065467B" w:rsidRDefault="009835E1" w:rsidP="00F54698">
            <w:pPr>
              <w:overflowPunct/>
              <w:autoSpaceDE/>
              <w:autoSpaceDN/>
              <w:adjustRightInd/>
              <w:spacing w:after="0" w:line="240" w:lineRule="auto"/>
              <w:jc w:val="both"/>
              <w:textAlignment w:val="auto"/>
              <w:rPr>
                <w:sz w:val="20"/>
              </w:rPr>
            </w:pPr>
          </w:p>
          <w:p w:rsidR="009835E1" w:rsidRDefault="009835E1" w:rsidP="00F54698">
            <w:pPr>
              <w:overflowPunct/>
              <w:autoSpaceDE/>
              <w:autoSpaceDN/>
              <w:adjustRightInd/>
              <w:spacing w:line="240" w:lineRule="auto"/>
              <w:jc w:val="both"/>
              <w:textAlignment w:val="auto"/>
              <w:rPr>
                <w:sz w:val="20"/>
              </w:rPr>
            </w:pPr>
            <w:r w:rsidRPr="0065467B">
              <w:rPr>
                <w:sz w:val="20"/>
              </w:rPr>
              <w:t xml:space="preserve">V roce 2016 proběhne vyhodnocení první veřejné soutěže programu TRIO, přičemž od počátku roku 2016 se začnou realizovat první projekty zaměřené na zvýšení aplikovatelnosti výsledků </w:t>
            </w:r>
            <w:proofErr w:type="spellStart"/>
            <w:r w:rsidRPr="0065467B">
              <w:rPr>
                <w:sz w:val="20"/>
              </w:rPr>
              <w:t>VaVaI</w:t>
            </w:r>
            <w:proofErr w:type="spellEnd"/>
            <w:r w:rsidRPr="0065467B">
              <w:rPr>
                <w:sz w:val="20"/>
              </w:rPr>
              <w:t xml:space="preserve"> v oblasti </w:t>
            </w:r>
            <w:proofErr w:type="spellStart"/>
            <w:r w:rsidRPr="0065467B">
              <w:rPr>
                <w:sz w:val="20"/>
              </w:rPr>
              <w:t>KETs</w:t>
            </w:r>
            <w:proofErr w:type="spellEnd"/>
            <w:r w:rsidRPr="0065467B">
              <w:rPr>
                <w:sz w:val="20"/>
              </w:rPr>
              <w:t xml:space="preserve"> v podnikové sféře. Alokace programu na rok 2016 činí 300 mil. Kč.</w:t>
            </w:r>
          </w:p>
        </w:tc>
      </w:tr>
      <w:tr w:rsidR="009835E1" w:rsidRPr="00283744" w:rsidTr="009835E1">
        <w:tc>
          <w:tcPr>
            <w:tcW w:w="2269" w:type="dxa"/>
          </w:tcPr>
          <w:p w:rsidR="009835E1"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Podpora</w:t>
            </w:r>
            <w:r w:rsidRPr="007B4446">
              <w:rPr>
                <w:sz w:val="20"/>
              </w:rPr>
              <w:t xml:space="preserve"> </w:t>
            </w:r>
            <w:r w:rsidRPr="00AE6E5A">
              <w:rPr>
                <w:sz w:val="20"/>
              </w:rPr>
              <w:t xml:space="preserve">zvýšení intenzity společných </w:t>
            </w:r>
            <w:r w:rsidRPr="00AE6E5A">
              <w:rPr>
                <w:sz w:val="20"/>
              </w:rPr>
              <w:lastRenderedPageBreak/>
              <w:t>výzkumných, vývojových a inovačních aktivit mezi podnikatelskými subjekty a výzkumnou sférou</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sidRPr="00AE6E5A">
              <w:rPr>
                <w:sz w:val="20"/>
              </w:rPr>
              <w:lastRenderedPageBreak/>
              <w:t>MPO 61</w:t>
            </w:r>
            <w:r>
              <w:rPr>
                <w:sz w:val="20"/>
              </w:rPr>
              <w:t>0</w:t>
            </w:r>
            <w:r w:rsidRPr="00AE6E5A">
              <w:rPr>
                <w:sz w:val="20"/>
              </w:rPr>
              <w:t>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sidRPr="00AE6E5A">
              <w:rPr>
                <w:sz w:val="20"/>
              </w:rPr>
              <w:t>Dle harmonogr</w:t>
            </w:r>
            <w:r w:rsidRPr="00AE6E5A">
              <w:rPr>
                <w:sz w:val="20"/>
              </w:rPr>
              <w:lastRenderedPageBreak/>
              <w:t>amu přípravy OP PIK</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sidRPr="00AE6E5A">
              <w:rPr>
                <w:sz w:val="20"/>
              </w:rPr>
              <w:lastRenderedPageBreak/>
              <w:t>PO1 OP PIK</w:t>
            </w:r>
          </w:p>
        </w:tc>
        <w:tc>
          <w:tcPr>
            <w:tcW w:w="3090" w:type="dxa"/>
          </w:tcPr>
          <w:p w:rsidR="009835E1" w:rsidRDefault="009835E1" w:rsidP="00F54698">
            <w:pPr>
              <w:overflowPunct/>
              <w:autoSpaceDE/>
              <w:autoSpaceDN/>
              <w:adjustRightInd/>
              <w:spacing w:after="0" w:line="240" w:lineRule="auto"/>
              <w:jc w:val="both"/>
              <w:textAlignment w:val="auto"/>
              <w:rPr>
                <w:sz w:val="20"/>
              </w:rPr>
            </w:pPr>
            <w:r w:rsidRPr="00AE6E5A">
              <w:rPr>
                <w:sz w:val="20"/>
              </w:rPr>
              <w:t>Vyhlášení výzvy programu</w:t>
            </w:r>
            <w:r>
              <w:rPr>
                <w:sz w:val="20"/>
              </w:rPr>
              <w:t xml:space="preserve"> Spolupráce – Cílem programu je </w:t>
            </w:r>
            <w:r w:rsidRPr="00AE6E5A">
              <w:rPr>
                <w:sz w:val="20"/>
              </w:rPr>
              <w:lastRenderedPageBreak/>
              <w:t xml:space="preserve">rozvoj inovačních sítí – klastrů, technologických platforem a dalších typů kooperačních </w:t>
            </w:r>
            <w:r>
              <w:rPr>
                <w:sz w:val="20"/>
              </w:rPr>
              <w:t>sítí,</w:t>
            </w:r>
            <w:r w:rsidRPr="00AE6E5A">
              <w:rPr>
                <w:sz w:val="20"/>
              </w:rPr>
              <w:t xml:space="preserve"> jako nástroje pro zvýšení intenzity společných výzkumných, vývojových a inovačních aktivit mezi podnikatelskými subjekty a výzkumnou sférou. Posilování vzájemných vazeb na regionální, nadregionální i mezinárodní úrovni povede k rozvoji ekonomiky založené na znalostech a inovacích a naplňování konceptu inteligentní specializace.</w:t>
            </w:r>
          </w:p>
        </w:tc>
      </w:tr>
      <w:tr w:rsidR="009835E1" w:rsidRPr="00283744" w:rsidTr="009835E1">
        <w:tc>
          <w:tcPr>
            <w:tcW w:w="2269" w:type="dxa"/>
          </w:tcPr>
          <w:p w:rsidR="009835E1"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lastRenderedPageBreak/>
              <w:t xml:space="preserve">Podpora </w:t>
            </w:r>
            <w:r w:rsidRPr="002E42C7">
              <w:rPr>
                <w:sz w:val="20"/>
              </w:rPr>
              <w:t>realizace průmyslového výzkumu a experimentálního vývoje</w:t>
            </w:r>
          </w:p>
        </w:tc>
        <w:tc>
          <w:tcPr>
            <w:tcW w:w="850" w:type="dxa"/>
          </w:tcPr>
          <w:p w:rsidR="009835E1" w:rsidRPr="00237E1E" w:rsidRDefault="009835E1" w:rsidP="00C954CD">
            <w:pPr>
              <w:overflowPunct/>
              <w:autoSpaceDE/>
              <w:autoSpaceDN/>
              <w:adjustRightInd/>
              <w:spacing w:after="0" w:line="240" w:lineRule="auto"/>
              <w:jc w:val="both"/>
              <w:textAlignment w:val="auto"/>
              <w:rPr>
                <w:sz w:val="20"/>
              </w:rPr>
            </w:pPr>
            <w:r>
              <w:rPr>
                <w:sz w:val="20"/>
              </w:rPr>
              <w:t>MPO 61000</w:t>
            </w:r>
          </w:p>
        </w:tc>
        <w:tc>
          <w:tcPr>
            <w:tcW w:w="1276" w:type="dxa"/>
          </w:tcPr>
          <w:p w:rsidR="009835E1" w:rsidRPr="00237E1E"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sidRPr="00237E1E">
              <w:rPr>
                <w:sz w:val="20"/>
              </w:rPr>
              <w:t>Dle harmonogramu přípravy OP PIK</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sidRPr="00237E1E">
              <w:rPr>
                <w:sz w:val="20"/>
              </w:rPr>
              <w:t xml:space="preserve">PO1 </w:t>
            </w:r>
            <w:r w:rsidRPr="00F504BE">
              <w:rPr>
                <w:sz w:val="20"/>
              </w:rPr>
              <w:t>OP PIK</w:t>
            </w:r>
          </w:p>
        </w:tc>
        <w:tc>
          <w:tcPr>
            <w:tcW w:w="3090" w:type="dxa"/>
          </w:tcPr>
          <w:p w:rsidR="009835E1" w:rsidRDefault="009835E1" w:rsidP="00F54698">
            <w:pPr>
              <w:overflowPunct/>
              <w:autoSpaceDE/>
              <w:autoSpaceDN/>
              <w:adjustRightInd/>
              <w:spacing w:after="0" w:line="240" w:lineRule="auto"/>
              <w:jc w:val="both"/>
              <w:textAlignment w:val="auto"/>
              <w:rPr>
                <w:sz w:val="20"/>
              </w:rPr>
            </w:pPr>
            <w:r w:rsidRPr="002E42C7">
              <w:rPr>
                <w:sz w:val="20"/>
              </w:rPr>
              <w:t>Vyhlášení výzvy programu</w:t>
            </w:r>
            <w:r>
              <w:rPr>
                <w:sz w:val="20"/>
              </w:rPr>
              <w:t xml:space="preserve"> Aplikace – Cílem programu </w:t>
            </w:r>
            <w:r w:rsidRPr="002E42C7">
              <w:rPr>
                <w:sz w:val="20"/>
              </w:rPr>
              <w:t>je získávání nových znalostí potřebných pro vývoj nových produktů, materiálů, technologií a služeb prostřednictvím realizace projektů průmyslového výzkumu a experimentálního vývoje. Výsledky těchto činností povedou k zavádění inovací vyšších řádů a k tvorbě produktů konkurenceschopných na světových trzích. Specifická pozornost bude věnována výzkumu v oblasti průmyslových výzev a klíčových technologií (</w:t>
            </w:r>
            <w:proofErr w:type="spellStart"/>
            <w:r w:rsidRPr="002E42C7">
              <w:rPr>
                <w:sz w:val="20"/>
              </w:rPr>
              <w:t>KETs</w:t>
            </w:r>
            <w:proofErr w:type="spellEnd"/>
            <w:r w:rsidRPr="002E42C7">
              <w:rPr>
                <w:sz w:val="20"/>
              </w:rPr>
              <w:t>), které mají značný potenciál pro urychlení modernizace firemní základny i pro vznik nových aplikačních oblastí a průmyslových odvětví.</w:t>
            </w:r>
          </w:p>
        </w:tc>
      </w:tr>
      <w:tr w:rsidR="009835E1" w:rsidRPr="00283744" w:rsidTr="009835E1">
        <w:tc>
          <w:tcPr>
            <w:tcW w:w="2269" w:type="dxa"/>
          </w:tcPr>
          <w:p w:rsidR="009835E1"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8A5018">
              <w:rPr>
                <w:sz w:val="20"/>
              </w:rPr>
              <w:t>Pokračování v rozvoji informačního portálu pro podnikatele Businessinfo.cz</w:t>
            </w:r>
            <w:r>
              <w:rPr>
                <w:sz w:val="20"/>
              </w:rPr>
              <w:t xml:space="preserve"> a webových stránek MPO</w:t>
            </w:r>
          </w:p>
        </w:tc>
        <w:tc>
          <w:tcPr>
            <w:tcW w:w="850" w:type="dxa"/>
          </w:tcPr>
          <w:p w:rsidR="009835E1" w:rsidRPr="002D0277" w:rsidRDefault="009835E1" w:rsidP="00C954CD">
            <w:pPr>
              <w:overflowPunct/>
              <w:autoSpaceDE/>
              <w:autoSpaceDN/>
              <w:adjustRightInd/>
              <w:spacing w:after="0" w:line="240" w:lineRule="auto"/>
              <w:jc w:val="both"/>
              <w:textAlignment w:val="auto"/>
              <w:rPr>
                <w:sz w:val="20"/>
              </w:rPr>
            </w:pPr>
            <w:proofErr w:type="spellStart"/>
            <w:r w:rsidRPr="002D0277">
              <w:rPr>
                <w:sz w:val="20"/>
              </w:rPr>
              <w:t>CzechTrade</w:t>
            </w:r>
            <w:proofErr w:type="spellEnd"/>
          </w:p>
        </w:tc>
        <w:tc>
          <w:tcPr>
            <w:tcW w:w="1276" w:type="dxa"/>
          </w:tcPr>
          <w:p w:rsidR="009835E1" w:rsidRPr="00010B84" w:rsidRDefault="009835E1" w:rsidP="00C954CD">
            <w:pPr>
              <w:overflowPunct/>
              <w:autoSpaceDE/>
              <w:autoSpaceDN/>
              <w:adjustRightInd/>
              <w:spacing w:after="0" w:line="240" w:lineRule="auto"/>
              <w:jc w:val="both"/>
              <w:textAlignment w:val="auto"/>
              <w:rPr>
                <w:sz w:val="20"/>
              </w:rPr>
            </w:pPr>
            <w:r>
              <w:rPr>
                <w:sz w:val="20"/>
              </w:rPr>
              <w:t>MPO</w:t>
            </w:r>
          </w:p>
        </w:tc>
        <w:tc>
          <w:tcPr>
            <w:tcW w:w="1134" w:type="dxa"/>
          </w:tcPr>
          <w:p w:rsidR="009835E1" w:rsidRPr="00237E1E" w:rsidRDefault="009835E1" w:rsidP="00C954CD">
            <w:pPr>
              <w:overflowPunct/>
              <w:autoSpaceDE/>
              <w:autoSpaceDN/>
              <w:adjustRightInd/>
              <w:spacing w:line="240" w:lineRule="auto"/>
              <w:jc w:val="both"/>
              <w:textAlignment w:val="auto"/>
              <w:rPr>
                <w:sz w:val="20"/>
              </w:rPr>
            </w:pPr>
            <w:r w:rsidRPr="002D0277">
              <w:rPr>
                <w:sz w:val="20"/>
              </w:rPr>
              <w:t>Průběžně</w:t>
            </w:r>
          </w:p>
        </w:tc>
        <w:tc>
          <w:tcPr>
            <w:tcW w:w="1276" w:type="dxa"/>
          </w:tcPr>
          <w:p w:rsidR="009835E1" w:rsidRPr="00237E1E" w:rsidRDefault="009835E1" w:rsidP="00C954CD">
            <w:pPr>
              <w:overflowPunct/>
              <w:autoSpaceDE/>
              <w:autoSpaceDN/>
              <w:adjustRightInd/>
              <w:spacing w:line="240" w:lineRule="auto"/>
              <w:jc w:val="both"/>
              <w:textAlignment w:val="auto"/>
              <w:rPr>
                <w:sz w:val="20"/>
              </w:rPr>
            </w:pPr>
            <w:r w:rsidRPr="002D0277">
              <w:rPr>
                <w:sz w:val="20"/>
              </w:rPr>
              <w:t>Vnitřní zdroje</w:t>
            </w:r>
          </w:p>
        </w:tc>
        <w:tc>
          <w:tcPr>
            <w:tcW w:w="3090" w:type="dxa"/>
          </w:tcPr>
          <w:p w:rsidR="009835E1" w:rsidRPr="002E42C7" w:rsidRDefault="009835E1" w:rsidP="00F54698">
            <w:pPr>
              <w:overflowPunct/>
              <w:autoSpaceDE/>
              <w:autoSpaceDN/>
              <w:adjustRightInd/>
              <w:spacing w:after="0" w:line="240" w:lineRule="auto"/>
              <w:jc w:val="both"/>
              <w:textAlignment w:val="auto"/>
              <w:rPr>
                <w:sz w:val="20"/>
              </w:rPr>
            </w:pPr>
            <w:r>
              <w:rPr>
                <w:sz w:val="20"/>
              </w:rPr>
              <w:t>Zajištění</w:t>
            </w:r>
            <w:r w:rsidRPr="003F6DE5">
              <w:rPr>
                <w:sz w:val="20"/>
              </w:rPr>
              <w:t xml:space="preserve"> komplexní</w:t>
            </w:r>
            <w:r>
              <w:rPr>
                <w:sz w:val="20"/>
              </w:rPr>
              <w:t>ch informací</w:t>
            </w:r>
            <w:r w:rsidRPr="003F6DE5">
              <w:rPr>
                <w:sz w:val="20"/>
              </w:rPr>
              <w:t xml:space="preserve"> pro MSP</w:t>
            </w:r>
            <w:r>
              <w:rPr>
                <w:sz w:val="20"/>
              </w:rPr>
              <w:t xml:space="preserve"> na portálech</w:t>
            </w:r>
            <w:r w:rsidRPr="003F6DE5">
              <w:rPr>
                <w:sz w:val="20"/>
              </w:rPr>
              <w:t xml:space="preserve"> </w:t>
            </w:r>
            <w:r>
              <w:rPr>
                <w:sz w:val="20"/>
              </w:rPr>
              <w:t>w</w:t>
            </w:r>
            <w:r w:rsidRPr="003F6DE5">
              <w:rPr>
                <w:sz w:val="20"/>
              </w:rPr>
              <w:t xml:space="preserve">ww.BusinessInfo.cz </w:t>
            </w:r>
            <w:r>
              <w:rPr>
                <w:sz w:val="20"/>
              </w:rPr>
              <w:t>a www.mpo.cz.</w:t>
            </w:r>
          </w:p>
        </w:tc>
      </w:tr>
    </w:tbl>
    <w:p w:rsidR="009835E1" w:rsidRDefault="009835E1" w:rsidP="009835E1"/>
    <w:p w:rsidR="009835E1" w:rsidRPr="00AA1768" w:rsidRDefault="009835E1" w:rsidP="009835E1"/>
    <w:p w:rsidR="009835E1" w:rsidRDefault="009835E1" w:rsidP="009835E1">
      <w:pPr>
        <w:pStyle w:val="Nadpis2"/>
        <w:numPr>
          <w:ilvl w:val="1"/>
          <w:numId w:val="11"/>
        </w:numPr>
      </w:pPr>
      <w:bookmarkStart w:id="3" w:name="_Toc433272197"/>
      <w:r>
        <w:t>Přístup k financím</w:t>
      </w:r>
      <w:bookmarkEnd w:id="3"/>
    </w:p>
    <w:p w:rsidR="009835E1" w:rsidRPr="00B30FF3" w:rsidRDefault="009835E1" w:rsidP="009835E1"/>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50"/>
        <w:gridCol w:w="1276"/>
        <w:gridCol w:w="1134"/>
        <w:gridCol w:w="1276"/>
        <w:gridCol w:w="3118"/>
      </w:tblGrid>
      <w:tr w:rsidR="009835E1" w:rsidRPr="009C1CB4" w:rsidTr="009835E1">
        <w:tc>
          <w:tcPr>
            <w:tcW w:w="2269" w:type="dxa"/>
            <w:shd w:val="clear" w:color="auto" w:fill="E36C0A"/>
          </w:tcPr>
          <w:p w:rsidR="009835E1" w:rsidRPr="009C1CB4" w:rsidRDefault="009835E1" w:rsidP="009835E1">
            <w:pPr>
              <w:spacing w:after="0"/>
              <w:rPr>
                <w:b/>
                <w:sz w:val="20"/>
              </w:rPr>
            </w:pPr>
            <w:r>
              <w:br w:type="page"/>
            </w:r>
            <w:r>
              <w:rPr>
                <w:b/>
                <w:sz w:val="20"/>
              </w:rPr>
              <w:t>Aktivita/</w:t>
            </w:r>
            <w:r w:rsidRPr="009C1CB4">
              <w:rPr>
                <w:b/>
                <w:sz w:val="20"/>
              </w:rPr>
              <w:t xml:space="preserve"> úkol</w:t>
            </w:r>
          </w:p>
        </w:tc>
        <w:tc>
          <w:tcPr>
            <w:tcW w:w="850" w:type="dxa"/>
            <w:shd w:val="clear" w:color="auto" w:fill="E36C0A"/>
          </w:tcPr>
          <w:p w:rsidR="009835E1" w:rsidRPr="009C1CB4" w:rsidRDefault="009835E1" w:rsidP="009835E1">
            <w:pPr>
              <w:spacing w:after="0"/>
              <w:rPr>
                <w:b/>
                <w:sz w:val="20"/>
              </w:rPr>
            </w:pPr>
            <w:r>
              <w:rPr>
                <w:b/>
                <w:sz w:val="20"/>
              </w:rPr>
              <w:t>Gestor</w:t>
            </w:r>
          </w:p>
        </w:tc>
        <w:tc>
          <w:tcPr>
            <w:tcW w:w="1276" w:type="dxa"/>
            <w:shd w:val="clear" w:color="auto" w:fill="E36C0A"/>
          </w:tcPr>
          <w:p w:rsidR="009835E1" w:rsidRPr="009C1CB4" w:rsidRDefault="009835E1" w:rsidP="009835E1">
            <w:pPr>
              <w:spacing w:after="0"/>
              <w:rPr>
                <w:b/>
                <w:sz w:val="20"/>
              </w:rPr>
            </w:pPr>
            <w:proofErr w:type="spellStart"/>
            <w:r>
              <w:rPr>
                <w:b/>
                <w:sz w:val="20"/>
              </w:rPr>
              <w:t>Spolugestor</w:t>
            </w:r>
            <w:proofErr w:type="spellEnd"/>
          </w:p>
        </w:tc>
        <w:tc>
          <w:tcPr>
            <w:tcW w:w="1134" w:type="dxa"/>
            <w:shd w:val="clear" w:color="auto" w:fill="E36C0A"/>
          </w:tcPr>
          <w:p w:rsidR="009835E1" w:rsidRPr="009C1CB4" w:rsidRDefault="009835E1" w:rsidP="009835E1">
            <w:pPr>
              <w:spacing w:after="0"/>
              <w:rPr>
                <w:b/>
                <w:sz w:val="20"/>
              </w:rPr>
            </w:pPr>
            <w:r w:rsidRPr="009C1CB4">
              <w:rPr>
                <w:b/>
                <w:sz w:val="20"/>
              </w:rPr>
              <w:t>Termín</w:t>
            </w:r>
          </w:p>
        </w:tc>
        <w:tc>
          <w:tcPr>
            <w:tcW w:w="1276" w:type="dxa"/>
            <w:shd w:val="clear" w:color="auto" w:fill="E36C0A"/>
          </w:tcPr>
          <w:p w:rsidR="009835E1" w:rsidRPr="009C1CB4" w:rsidRDefault="009835E1" w:rsidP="009835E1">
            <w:pPr>
              <w:spacing w:after="0"/>
              <w:rPr>
                <w:b/>
                <w:sz w:val="20"/>
              </w:rPr>
            </w:pPr>
            <w:r w:rsidRPr="009C1CB4">
              <w:rPr>
                <w:b/>
                <w:sz w:val="20"/>
              </w:rPr>
              <w:t>Financování</w:t>
            </w:r>
          </w:p>
        </w:tc>
        <w:tc>
          <w:tcPr>
            <w:tcW w:w="3118" w:type="dxa"/>
            <w:shd w:val="clear" w:color="auto" w:fill="E36C0A"/>
          </w:tcPr>
          <w:p w:rsidR="009835E1" w:rsidRPr="009C1CB4" w:rsidRDefault="009835E1" w:rsidP="009835E1">
            <w:pPr>
              <w:spacing w:after="0"/>
              <w:rPr>
                <w:b/>
                <w:sz w:val="20"/>
              </w:rPr>
            </w:pPr>
            <w:r>
              <w:rPr>
                <w:b/>
                <w:sz w:val="20"/>
              </w:rPr>
              <w:t>Nástroj realizace opatření</w:t>
            </w:r>
          </w:p>
        </w:tc>
      </w:tr>
      <w:tr w:rsidR="009835E1" w:rsidRPr="00283744" w:rsidTr="009835E1">
        <w:tc>
          <w:tcPr>
            <w:tcW w:w="2269" w:type="dxa"/>
          </w:tcPr>
          <w:p w:rsidR="009835E1" w:rsidRPr="00406E86" w:rsidRDefault="009835E1" w:rsidP="009835E1">
            <w:pPr>
              <w:numPr>
                <w:ilvl w:val="0"/>
                <w:numId w:val="10"/>
              </w:numPr>
              <w:overflowPunct/>
              <w:autoSpaceDE/>
              <w:autoSpaceDN/>
              <w:adjustRightInd/>
              <w:spacing w:after="0" w:line="240" w:lineRule="auto"/>
              <w:textAlignment w:val="auto"/>
              <w:rPr>
                <w:sz w:val="20"/>
              </w:rPr>
            </w:pPr>
            <w:r w:rsidRPr="00406E86">
              <w:rPr>
                <w:sz w:val="20"/>
              </w:rPr>
              <w:t>Posílení role ČMRZB</w:t>
            </w:r>
            <w:r>
              <w:rPr>
                <w:sz w:val="20"/>
              </w:rPr>
              <w:t xml:space="preserve"> a akcelerace národních podpůrných mechanismů</w:t>
            </w:r>
          </w:p>
          <w:p w:rsidR="009835E1" w:rsidRPr="00017BAC" w:rsidRDefault="009835E1" w:rsidP="009835E1">
            <w:pPr>
              <w:spacing w:after="0"/>
              <w:ind w:left="360"/>
              <w:rPr>
                <w:sz w:val="20"/>
              </w:rPr>
            </w:pPr>
          </w:p>
        </w:tc>
        <w:tc>
          <w:tcPr>
            <w:tcW w:w="850" w:type="dxa"/>
          </w:tcPr>
          <w:p w:rsidR="009835E1" w:rsidRPr="00017BAC" w:rsidRDefault="009835E1" w:rsidP="00C954CD">
            <w:pPr>
              <w:overflowPunct/>
              <w:autoSpaceDE/>
              <w:autoSpaceDN/>
              <w:adjustRightInd/>
              <w:spacing w:after="0" w:line="240" w:lineRule="auto"/>
              <w:jc w:val="both"/>
              <w:textAlignment w:val="auto"/>
              <w:rPr>
                <w:sz w:val="20"/>
              </w:rPr>
            </w:pPr>
            <w:r>
              <w:rPr>
                <w:sz w:val="20"/>
              </w:rPr>
              <w:lastRenderedPageBreak/>
              <w:t>MPO 61000</w:t>
            </w:r>
          </w:p>
        </w:tc>
        <w:tc>
          <w:tcPr>
            <w:tcW w:w="1276" w:type="dxa"/>
          </w:tcPr>
          <w:p w:rsidR="009835E1" w:rsidRDefault="009835E1" w:rsidP="00C954CD">
            <w:pPr>
              <w:overflowPunct/>
              <w:autoSpaceDE/>
              <w:autoSpaceDN/>
              <w:adjustRightInd/>
              <w:spacing w:after="0" w:line="240" w:lineRule="auto"/>
              <w:jc w:val="both"/>
              <w:textAlignment w:val="auto"/>
              <w:rPr>
                <w:sz w:val="20"/>
              </w:rPr>
            </w:pPr>
            <w:r w:rsidRPr="00592FD0">
              <w:rPr>
                <w:sz w:val="20"/>
              </w:rPr>
              <w:t>ČMRZB</w:t>
            </w:r>
          </w:p>
        </w:tc>
        <w:tc>
          <w:tcPr>
            <w:tcW w:w="1134" w:type="dxa"/>
          </w:tcPr>
          <w:p w:rsidR="009835E1" w:rsidRPr="00017BAC" w:rsidRDefault="009835E1" w:rsidP="00C954CD">
            <w:pPr>
              <w:overflowPunct/>
              <w:autoSpaceDE/>
              <w:autoSpaceDN/>
              <w:adjustRightInd/>
              <w:spacing w:after="0" w:line="240" w:lineRule="auto"/>
              <w:jc w:val="both"/>
              <w:textAlignment w:val="auto"/>
              <w:rPr>
                <w:sz w:val="20"/>
              </w:rPr>
            </w:pPr>
          </w:p>
        </w:tc>
        <w:tc>
          <w:tcPr>
            <w:tcW w:w="1276" w:type="dxa"/>
          </w:tcPr>
          <w:p w:rsidR="009835E1" w:rsidRPr="00017BAC" w:rsidRDefault="009835E1" w:rsidP="00C954CD">
            <w:pPr>
              <w:overflowPunct/>
              <w:autoSpaceDE/>
              <w:autoSpaceDN/>
              <w:adjustRightInd/>
              <w:spacing w:after="0" w:line="240" w:lineRule="auto"/>
              <w:jc w:val="both"/>
              <w:textAlignment w:val="auto"/>
              <w:rPr>
                <w:sz w:val="20"/>
              </w:rPr>
            </w:pPr>
            <w:r>
              <w:rPr>
                <w:sz w:val="20"/>
              </w:rPr>
              <w:t>Státní rozpočet (nový nárok)</w:t>
            </w:r>
          </w:p>
        </w:tc>
        <w:tc>
          <w:tcPr>
            <w:tcW w:w="3118" w:type="dxa"/>
          </w:tcPr>
          <w:p w:rsidR="009835E1" w:rsidRDefault="009835E1" w:rsidP="00F54698">
            <w:pPr>
              <w:overflowPunct/>
              <w:autoSpaceDE/>
              <w:autoSpaceDN/>
              <w:adjustRightInd/>
              <w:spacing w:after="0" w:line="240" w:lineRule="auto"/>
              <w:jc w:val="both"/>
              <w:textAlignment w:val="auto"/>
              <w:rPr>
                <w:sz w:val="20"/>
              </w:rPr>
            </w:pPr>
            <w:r>
              <w:rPr>
                <w:sz w:val="20"/>
              </w:rPr>
              <w:t>Uzavření smlouvy mezi ČMRZB a</w:t>
            </w:r>
            <w:r w:rsidRPr="00376BEB">
              <w:rPr>
                <w:sz w:val="20"/>
              </w:rPr>
              <w:t xml:space="preserve"> Evropským investičním fondem</w:t>
            </w:r>
            <w:r>
              <w:rPr>
                <w:sz w:val="20"/>
              </w:rPr>
              <w:t xml:space="preserve"> (EIF) o poskytnutí protizáruky – možnost českých podnikatelů</w:t>
            </w:r>
            <w:r w:rsidRPr="00376BEB">
              <w:rPr>
                <w:sz w:val="20"/>
              </w:rPr>
              <w:t xml:space="preserve"> čerpat úvěry v celkové výši 4,4 </w:t>
            </w:r>
            <w:r w:rsidRPr="0062517E">
              <w:rPr>
                <w:sz w:val="20"/>
              </w:rPr>
              <w:t xml:space="preserve">mld. </w:t>
            </w:r>
            <w:r w:rsidRPr="0062517E">
              <w:rPr>
                <w:sz w:val="20"/>
              </w:rPr>
              <w:lastRenderedPageBreak/>
              <w:t>Kč.</w:t>
            </w:r>
          </w:p>
          <w:p w:rsidR="009835E1" w:rsidRPr="00017BAC" w:rsidRDefault="009835E1" w:rsidP="00F54698">
            <w:pPr>
              <w:overflowPunct/>
              <w:autoSpaceDE/>
              <w:autoSpaceDN/>
              <w:adjustRightInd/>
              <w:spacing w:after="0" w:line="240" w:lineRule="auto"/>
              <w:jc w:val="both"/>
              <w:textAlignment w:val="auto"/>
              <w:rPr>
                <w:sz w:val="20"/>
              </w:rPr>
            </w:pPr>
            <w:r>
              <w:rPr>
                <w:sz w:val="20"/>
              </w:rPr>
              <w:t>P</w:t>
            </w:r>
            <w:r w:rsidRPr="004136B0">
              <w:rPr>
                <w:sz w:val="20"/>
              </w:rPr>
              <w:t>osílení finančních prostředků pro podporu MSP ze státního rozpočtu</w:t>
            </w:r>
            <w:r w:rsidRPr="006C24E1">
              <w:rPr>
                <w:sz w:val="20"/>
              </w:rPr>
              <w:t xml:space="preserve"> pro rok 2015 – 500 mil. Kč a dle posledního návrhu MPO na usnesení vlády pro společný materiál MF a MPO by měla být banka v roce 2016 posílena dalšími 500 mil. Kč</w:t>
            </w:r>
            <w:r w:rsidRPr="004136B0">
              <w:rPr>
                <w:sz w:val="20"/>
              </w:rPr>
              <w:t xml:space="preserve"> (celkem</w:t>
            </w:r>
            <w:r>
              <w:rPr>
                <w:sz w:val="20"/>
              </w:rPr>
              <w:t xml:space="preserve"> v dalších letech až</w:t>
            </w:r>
            <w:r w:rsidRPr="004136B0">
              <w:rPr>
                <w:sz w:val="20"/>
              </w:rPr>
              <w:t xml:space="preserve"> 5 mld. Kč).</w:t>
            </w:r>
            <w:r>
              <w:rPr>
                <w:sz w:val="20"/>
              </w:rPr>
              <w:t xml:space="preserve"> </w:t>
            </w:r>
          </w:p>
        </w:tc>
      </w:tr>
      <w:tr w:rsidR="009835E1" w:rsidRPr="00283744" w:rsidTr="009835E1">
        <w:tc>
          <w:tcPr>
            <w:tcW w:w="2269" w:type="dxa"/>
          </w:tcPr>
          <w:p w:rsidR="009835E1" w:rsidRDefault="009835E1" w:rsidP="009835E1">
            <w:pPr>
              <w:numPr>
                <w:ilvl w:val="0"/>
                <w:numId w:val="10"/>
              </w:numPr>
              <w:overflowPunct/>
              <w:autoSpaceDE/>
              <w:autoSpaceDN/>
              <w:adjustRightInd/>
              <w:spacing w:after="0" w:line="240" w:lineRule="auto"/>
              <w:textAlignment w:val="auto"/>
              <w:rPr>
                <w:sz w:val="20"/>
              </w:rPr>
            </w:pPr>
            <w:r w:rsidRPr="000231B0">
              <w:rPr>
                <w:sz w:val="20"/>
              </w:rPr>
              <w:lastRenderedPageBreak/>
              <w:t>Příprava výzev programů poskytujících zvýhodněné úvěry a zvýhodněné záruky za úvěry p</w:t>
            </w:r>
            <w:r>
              <w:rPr>
                <w:sz w:val="20"/>
              </w:rPr>
              <w:t xml:space="preserve">ro MSP </w:t>
            </w:r>
          </w:p>
        </w:tc>
        <w:tc>
          <w:tcPr>
            <w:tcW w:w="850" w:type="dxa"/>
          </w:tcPr>
          <w:p w:rsidR="009835E1" w:rsidRDefault="009835E1" w:rsidP="00C954CD">
            <w:pPr>
              <w:overflowPunct/>
              <w:autoSpaceDE/>
              <w:autoSpaceDN/>
              <w:adjustRightInd/>
              <w:spacing w:after="0" w:line="240" w:lineRule="auto"/>
              <w:jc w:val="both"/>
              <w:textAlignment w:val="auto"/>
              <w:rPr>
                <w:sz w:val="20"/>
              </w:rPr>
            </w:pPr>
            <w:r w:rsidRPr="000231B0">
              <w:rPr>
                <w:sz w:val="20"/>
              </w:rPr>
              <w:t>MPO 61</w:t>
            </w:r>
            <w:r>
              <w:rPr>
                <w:sz w:val="20"/>
              </w:rPr>
              <w:t>0</w:t>
            </w:r>
            <w:r w:rsidRPr="000231B0">
              <w:rPr>
                <w:sz w:val="20"/>
              </w:rPr>
              <w:t>00</w:t>
            </w:r>
          </w:p>
        </w:tc>
        <w:tc>
          <w:tcPr>
            <w:tcW w:w="1276" w:type="dxa"/>
          </w:tcPr>
          <w:p w:rsidR="009835E1" w:rsidRPr="000231B0" w:rsidRDefault="009835E1" w:rsidP="00C954CD">
            <w:pPr>
              <w:overflowPunct/>
              <w:autoSpaceDE/>
              <w:autoSpaceDN/>
              <w:adjustRightInd/>
              <w:spacing w:after="0" w:line="240" w:lineRule="auto"/>
              <w:jc w:val="both"/>
              <w:textAlignment w:val="auto"/>
              <w:rPr>
                <w:sz w:val="20"/>
              </w:rPr>
            </w:pPr>
            <w:r w:rsidRPr="00592FD0">
              <w:rPr>
                <w:sz w:val="20"/>
              </w:rPr>
              <w:t>ČMZRB</w:t>
            </w:r>
          </w:p>
        </w:tc>
        <w:tc>
          <w:tcPr>
            <w:tcW w:w="1134" w:type="dxa"/>
          </w:tcPr>
          <w:p w:rsidR="009835E1" w:rsidRDefault="009835E1" w:rsidP="00C954CD">
            <w:pPr>
              <w:overflowPunct/>
              <w:autoSpaceDE/>
              <w:autoSpaceDN/>
              <w:adjustRightInd/>
              <w:spacing w:after="0" w:line="240" w:lineRule="auto"/>
              <w:jc w:val="both"/>
              <w:textAlignment w:val="auto"/>
              <w:rPr>
                <w:sz w:val="20"/>
              </w:rPr>
            </w:pPr>
            <w:r w:rsidRPr="000231B0">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0231B0">
              <w:rPr>
                <w:sz w:val="20"/>
              </w:rPr>
              <w:t>PO2 OPPIK</w:t>
            </w:r>
          </w:p>
        </w:tc>
        <w:tc>
          <w:tcPr>
            <w:tcW w:w="3118" w:type="dxa"/>
          </w:tcPr>
          <w:p w:rsidR="009835E1" w:rsidRPr="00F54698" w:rsidRDefault="009835E1" w:rsidP="00F54698">
            <w:pPr>
              <w:overflowPunct/>
              <w:autoSpaceDE/>
              <w:autoSpaceDN/>
              <w:adjustRightInd/>
              <w:spacing w:after="0" w:line="240" w:lineRule="auto"/>
              <w:jc w:val="both"/>
              <w:textAlignment w:val="auto"/>
              <w:rPr>
                <w:sz w:val="20"/>
              </w:rPr>
            </w:pPr>
            <w:r>
              <w:rPr>
                <w:sz w:val="20"/>
              </w:rPr>
              <w:t>Vyhlášení výzvy p</w:t>
            </w:r>
            <w:r w:rsidRPr="00E608DD">
              <w:rPr>
                <w:sz w:val="20"/>
              </w:rPr>
              <w:t>rogram</w:t>
            </w:r>
            <w:r>
              <w:rPr>
                <w:sz w:val="20"/>
              </w:rPr>
              <w:t>u</w:t>
            </w:r>
            <w:r w:rsidRPr="00E608DD">
              <w:rPr>
                <w:sz w:val="20"/>
              </w:rPr>
              <w:t xml:space="preserve"> EXPANZE v rámci PO2 - Formou poskytnutí zvýhodněného úvěru s možností odkladu splátek jistiny, záruky za úvěr a finančního příspěvku na úhradu úroků MSP.</w:t>
            </w:r>
          </w:p>
        </w:tc>
      </w:tr>
      <w:tr w:rsidR="009835E1" w:rsidRPr="00283744" w:rsidTr="009835E1">
        <w:tc>
          <w:tcPr>
            <w:tcW w:w="2269" w:type="dxa"/>
          </w:tcPr>
          <w:p w:rsidR="009835E1" w:rsidRDefault="009835E1" w:rsidP="009835E1">
            <w:pPr>
              <w:numPr>
                <w:ilvl w:val="0"/>
                <w:numId w:val="10"/>
              </w:numPr>
              <w:overflowPunct/>
              <w:autoSpaceDE/>
              <w:autoSpaceDN/>
              <w:adjustRightInd/>
              <w:spacing w:after="0" w:line="240" w:lineRule="auto"/>
              <w:textAlignment w:val="auto"/>
              <w:rPr>
                <w:sz w:val="20"/>
              </w:rPr>
            </w:pPr>
            <w:r>
              <w:rPr>
                <w:sz w:val="20"/>
              </w:rPr>
              <w:t>P</w:t>
            </w:r>
            <w:r w:rsidRPr="00A35ABD">
              <w:rPr>
                <w:sz w:val="20"/>
              </w:rPr>
              <w:t xml:space="preserve">odpora </w:t>
            </w:r>
            <w:r>
              <w:rPr>
                <w:sz w:val="20"/>
              </w:rPr>
              <w:t>inovačních</w:t>
            </w:r>
            <w:r w:rsidRPr="00A35ABD">
              <w:rPr>
                <w:sz w:val="20"/>
              </w:rPr>
              <w:t xml:space="preserve"> projektů MSP prostřednictvím rizikového kapitálu</w:t>
            </w:r>
          </w:p>
        </w:tc>
        <w:tc>
          <w:tcPr>
            <w:tcW w:w="850" w:type="dxa"/>
          </w:tcPr>
          <w:p w:rsidR="009835E1" w:rsidRDefault="009835E1" w:rsidP="00C954CD">
            <w:pPr>
              <w:overflowPunct/>
              <w:autoSpaceDE/>
              <w:autoSpaceDN/>
              <w:adjustRightInd/>
              <w:spacing w:after="0" w:line="240" w:lineRule="auto"/>
              <w:jc w:val="both"/>
              <w:textAlignment w:val="auto"/>
              <w:rPr>
                <w:sz w:val="20"/>
              </w:rPr>
            </w:pPr>
            <w:r w:rsidRPr="00A35ABD">
              <w:rPr>
                <w:sz w:val="20"/>
              </w:rPr>
              <w:t>MPO 61</w:t>
            </w:r>
            <w:r>
              <w:rPr>
                <w:sz w:val="20"/>
              </w:rPr>
              <w:t>0</w:t>
            </w:r>
            <w:r w:rsidRPr="00A35ABD">
              <w:rPr>
                <w:sz w:val="20"/>
              </w:rPr>
              <w:t>00</w:t>
            </w:r>
          </w:p>
        </w:tc>
        <w:tc>
          <w:tcPr>
            <w:tcW w:w="1276" w:type="dxa"/>
          </w:tcPr>
          <w:p w:rsidR="009835E1" w:rsidRPr="00A35ABD" w:rsidRDefault="009835E1" w:rsidP="00C954CD">
            <w:pPr>
              <w:overflowPunct/>
              <w:autoSpaceDE/>
              <w:autoSpaceDN/>
              <w:adjustRightInd/>
              <w:spacing w:after="0" w:line="240" w:lineRule="auto"/>
              <w:jc w:val="both"/>
              <w:textAlignment w:val="auto"/>
              <w:rPr>
                <w:sz w:val="20"/>
              </w:rPr>
            </w:pPr>
          </w:p>
        </w:tc>
        <w:tc>
          <w:tcPr>
            <w:tcW w:w="1134" w:type="dxa"/>
          </w:tcPr>
          <w:p w:rsidR="009835E1" w:rsidRDefault="009835E1" w:rsidP="00C954CD">
            <w:pPr>
              <w:overflowPunct/>
              <w:autoSpaceDE/>
              <w:autoSpaceDN/>
              <w:adjustRightInd/>
              <w:spacing w:after="0" w:line="240" w:lineRule="auto"/>
              <w:jc w:val="both"/>
              <w:textAlignment w:val="auto"/>
              <w:rPr>
                <w:sz w:val="20"/>
              </w:rPr>
            </w:pPr>
            <w:r w:rsidRPr="00A35ABD">
              <w:rPr>
                <w:sz w:val="20"/>
              </w:rPr>
              <w:t>Dle harmonogramu přípravy OP PIK</w:t>
            </w:r>
          </w:p>
        </w:tc>
        <w:tc>
          <w:tcPr>
            <w:tcW w:w="1276" w:type="dxa"/>
          </w:tcPr>
          <w:p w:rsidR="009835E1" w:rsidRPr="00C954CD" w:rsidRDefault="009835E1" w:rsidP="00C954CD">
            <w:pPr>
              <w:overflowPunct/>
              <w:autoSpaceDE/>
              <w:autoSpaceDN/>
              <w:adjustRightInd/>
              <w:spacing w:line="240" w:lineRule="auto"/>
              <w:jc w:val="both"/>
              <w:textAlignment w:val="auto"/>
              <w:rPr>
                <w:sz w:val="20"/>
              </w:rPr>
            </w:pPr>
            <w:r w:rsidRPr="00A35ABD">
              <w:rPr>
                <w:sz w:val="20"/>
              </w:rPr>
              <w:t>PO2 OPPIK</w:t>
            </w:r>
          </w:p>
        </w:tc>
        <w:tc>
          <w:tcPr>
            <w:tcW w:w="3118" w:type="dxa"/>
          </w:tcPr>
          <w:p w:rsidR="009835E1" w:rsidRPr="00F54698" w:rsidRDefault="009835E1" w:rsidP="00F54698">
            <w:pPr>
              <w:overflowPunct/>
              <w:autoSpaceDE/>
              <w:autoSpaceDN/>
              <w:adjustRightInd/>
              <w:spacing w:after="0" w:line="240" w:lineRule="auto"/>
              <w:jc w:val="both"/>
              <w:textAlignment w:val="auto"/>
              <w:rPr>
                <w:sz w:val="20"/>
              </w:rPr>
            </w:pPr>
            <w:r>
              <w:rPr>
                <w:sz w:val="20"/>
              </w:rPr>
              <w:t>Vyhlášení výzvy p</w:t>
            </w:r>
            <w:r w:rsidRPr="00A72770">
              <w:rPr>
                <w:sz w:val="20"/>
              </w:rPr>
              <w:t>rogram</w:t>
            </w:r>
            <w:r>
              <w:rPr>
                <w:sz w:val="20"/>
              </w:rPr>
              <w:t>u</w:t>
            </w:r>
            <w:r w:rsidRPr="00A72770">
              <w:rPr>
                <w:sz w:val="20"/>
              </w:rPr>
              <w:t xml:space="preserve"> Rizikový kapitál v rámci PO2 - Formou poskytování rizikového kapitálu zlepšit přístup MSP k financování.</w:t>
            </w:r>
          </w:p>
        </w:tc>
      </w:tr>
      <w:tr w:rsidR="009835E1" w:rsidRPr="00283744" w:rsidTr="009835E1">
        <w:trPr>
          <w:trHeight w:val="708"/>
        </w:trPr>
        <w:tc>
          <w:tcPr>
            <w:tcW w:w="2269" w:type="dxa"/>
          </w:tcPr>
          <w:p w:rsidR="009835E1" w:rsidRPr="00B120D6"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 xml:space="preserve">Podpora </w:t>
            </w:r>
            <w:r w:rsidRPr="007F6762">
              <w:rPr>
                <w:sz w:val="20"/>
              </w:rPr>
              <w:t xml:space="preserve">zvyšování počtu realizovaných nových podnikatelských záměrů začínajících </w:t>
            </w:r>
            <w:r>
              <w:rPr>
                <w:sz w:val="20"/>
              </w:rPr>
              <w:t>MSP</w:t>
            </w:r>
            <w:r w:rsidRPr="007F6762">
              <w:rPr>
                <w:sz w:val="20"/>
              </w:rPr>
              <w:t xml:space="preserve"> v hospodářsky problémových regionech, přispívajících rozvoji těchto re</w:t>
            </w:r>
            <w:r>
              <w:rPr>
                <w:sz w:val="20"/>
              </w:rPr>
              <w:t>gionů a zvyšování zaměstnanosti</w:t>
            </w:r>
          </w:p>
        </w:tc>
        <w:tc>
          <w:tcPr>
            <w:tcW w:w="850" w:type="dxa"/>
          </w:tcPr>
          <w:p w:rsidR="009835E1" w:rsidRPr="002F45DB" w:rsidRDefault="009835E1" w:rsidP="00C954CD">
            <w:pPr>
              <w:overflowPunct/>
              <w:autoSpaceDE/>
              <w:autoSpaceDN/>
              <w:adjustRightInd/>
              <w:spacing w:after="0" w:line="240" w:lineRule="auto"/>
              <w:jc w:val="both"/>
              <w:textAlignment w:val="auto"/>
              <w:rPr>
                <w:sz w:val="20"/>
              </w:rPr>
            </w:pPr>
            <w:r>
              <w:rPr>
                <w:sz w:val="20"/>
              </w:rPr>
              <w:t>MPO 61000</w:t>
            </w:r>
          </w:p>
        </w:tc>
        <w:tc>
          <w:tcPr>
            <w:tcW w:w="1276" w:type="dxa"/>
          </w:tcPr>
          <w:p w:rsidR="009835E1" w:rsidRPr="00DE2827"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Default="009835E1" w:rsidP="00C954CD">
            <w:pPr>
              <w:overflowPunct/>
              <w:autoSpaceDE/>
              <w:autoSpaceDN/>
              <w:adjustRightInd/>
              <w:spacing w:after="0" w:line="240" w:lineRule="auto"/>
              <w:jc w:val="both"/>
              <w:textAlignment w:val="auto"/>
              <w:rPr>
                <w:sz w:val="20"/>
              </w:rPr>
            </w:pPr>
            <w:r w:rsidRPr="00DE2827">
              <w:rPr>
                <w:sz w:val="20"/>
              </w:rPr>
              <w:t>Dle harmonogramu přípravy OP PIK</w:t>
            </w:r>
          </w:p>
        </w:tc>
        <w:tc>
          <w:tcPr>
            <w:tcW w:w="1276" w:type="dxa"/>
          </w:tcPr>
          <w:p w:rsidR="009835E1" w:rsidRDefault="009835E1" w:rsidP="00C954CD">
            <w:pPr>
              <w:overflowPunct/>
              <w:autoSpaceDE/>
              <w:autoSpaceDN/>
              <w:adjustRightInd/>
              <w:spacing w:after="0" w:line="240" w:lineRule="auto"/>
              <w:jc w:val="both"/>
              <w:textAlignment w:val="auto"/>
              <w:rPr>
                <w:sz w:val="20"/>
              </w:rPr>
            </w:pPr>
            <w:r w:rsidRPr="00DE2827">
              <w:rPr>
                <w:sz w:val="20"/>
              </w:rPr>
              <w:t xml:space="preserve">PO2 </w:t>
            </w:r>
            <w:r w:rsidRPr="00F504BE">
              <w:rPr>
                <w:sz w:val="20"/>
              </w:rPr>
              <w:t>OP PIK</w:t>
            </w:r>
          </w:p>
        </w:tc>
        <w:tc>
          <w:tcPr>
            <w:tcW w:w="3118" w:type="dxa"/>
          </w:tcPr>
          <w:p w:rsidR="009835E1" w:rsidRDefault="009835E1" w:rsidP="00F54698">
            <w:pPr>
              <w:overflowPunct/>
              <w:autoSpaceDE/>
              <w:autoSpaceDN/>
              <w:adjustRightInd/>
              <w:spacing w:after="0" w:line="240" w:lineRule="auto"/>
              <w:jc w:val="both"/>
              <w:textAlignment w:val="auto"/>
              <w:rPr>
                <w:sz w:val="20"/>
              </w:rPr>
            </w:pPr>
            <w:r>
              <w:rPr>
                <w:sz w:val="20"/>
              </w:rPr>
              <w:t xml:space="preserve">Vyhlášení výzvy programu Technologie - </w:t>
            </w:r>
            <w:r w:rsidRPr="00DE2827">
              <w:rPr>
                <w:sz w:val="20"/>
              </w:rPr>
              <w:t>Podporována bude podnikatelská činnost vymezená seznamem podporovaných ekono</w:t>
            </w:r>
            <w:r>
              <w:rPr>
                <w:sz w:val="20"/>
              </w:rPr>
              <w:t>mických činností podle CZ-NACE.</w:t>
            </w:r>
          </w:p>
        </w:tc>
      </w:tr>
      <w:tr w:rsidR="009835E1" w:rsidRPr="00283744" w:rsidTr="009835E1">
        <w:trPr>
          <w:trHeight w:val="1546"/>
        </w:trPr>
        <w:tc>
          <w:tcPr>
            <w:tcW w:w="2269" w:type="dxa"/>
          </w:tcPr>
          <w:p w:rsidR="009835E1"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Příprava nového implementačního mechanismu pro realizaci finančních nástrojů</w:t>
            </w:r>
          </w:p>
        </w:tc>
        <w:tc>
          <w:tcPr>
            <w:tcW w:w="850" w:type="dxa"/>
          </w:tcPr>
          <w:p w:rsidR="009835E1" w:rsidRPr="002F45DB" w:rsidRDefault="009835E1" w:rsidP="00C954CD">
            <w:pPr>
              <w:overflowPunct/>
              <w:autoSpaceDE/>
              <w:autoSpaceDN/>
              <w:adjustRightInd/>
              <w:spacing w:after="0" w:line="240" w:lineRule="auto"/>
              <w:jc w:val="both"/>
              <w:textAlignment w:val="auto"/>
              <w:rPr>
                <w:sz w:val="20"/>
              </w:rPr>
            </w:pPr>
            <w:r>
              <w:rPr>
                <w:sz w:val="20"/>
              </w:rPr>
              <w:t>MPO 61000</w:t>
            </w:r>
          </w:p>
        </w:tc>
        <w:tc>
          <w:tcPr>
            <w:tcW w:w="1276" w:type="dxa"/>
          </w:tcPr>
          <w:p w:rsidR="009835E1" w:rsidRDefault="009835E1" w:rsidP="00C954CD">
            <w:pPr>
              <w:overflowPunct/>
              <w:autoSpaceDE/>
              <w:autoSpaceDN/>
              <w:adjustRightInd/>
              <w:spacing w:after="0" w:line="240" w:lineRule="auto"/>
              <w:jc w:val="both"/>
              <w:textAlignment w:val="auto"/>
              <w:rPr>
                <w:sz w:val="20"/>
              </w:rPr>
            </w:pPr>
          </w:p>
        </w:tc>
        <w:tc>
          <w:tcPr>
            <w:tcW w:w="1134" w:type="dxa"/>
          </w:tcPr>
          <w:p w:rsidR="009835E1" w:rsidRDefault="009835E1" w:rsidP="00C954CD">
            <w:pPr>
              <w:overflowPunct/>
              <w:autoSpaceDE/>
              <w:autoSpaceDN/>
              <w:adjustRightInd/>
              <w:spacing w:after="0" w:line="240" w:lineRule="auto"/>
              <w:jc w:val="both"/>
              <w:textAlignment w:val="auto"/>
              <w:rPr>
                <w:sz w:val="20"/>
              </w:rPr>
            </w:pPr>
            <w:r>
              <w:rPr>
                <w:sz w:val="20"/>
              </w:rPr>
              <w:t>Průběžně</w:t>
            </w:r>
          </w:p>
        </w:tc>
        <w:tc>
          <w:tcPr>
            <w:tcW w:w="1276" w:type="dxa"/>
          </w:tcPr>
          <w:p w:rsidR="009835E1" w:rsidRDefault="009835E1" w:rsidP="00C954CD">
            <w:pPr>
              <w:overflowPunct/>
              <w:autoSpaceDE/>
              <w:autoSpaceDN/>
              <w:adjustRightInd/>
              <w:spacing w:after="0" w:line="240" w:lineRule="auto"/>
              <w:textAlignment w:val="auto"/>
              <w:rPr>
                <w:sz w:val="20"/>
              </w:rPr>
            </w:pPr>
            <w:r w:rsidRPr="00F504BE">
              <w:rPr>
                <w:sz w:val="20"/>
              </w:rPr>
              <w:t>OP PIK</w:t>
            </w:r>
            <w:r>
              <w:rPr>
                <w:sz w:val="20"/>
              </w:rPr>
              <w:t>, rozpočet MPO</w:t>
            </w:r>
          </w:p>
        </w:tc>
        <w:tc>
          <w:tcPr>
            <w:tcW w:w="3118" w:type="dxa"/>
          </w:tcPr>
          <w:p w:rsidR="009835E1" w:rsidRDefault="009835E1" w:rsidP="00F54698">
            <w:pPr>
              <w:overflowPunct/>
              <w:autoSpaceDE/>
              <w:autoSpaceDN/>
              <w:adjustRightInd/>
              <w:spacing w:after="0" w:line="240" w:lineRule="auto"/>
              <w:jc w:val="both"/>
              <w:textAlignment w:val="auto"/>
              <w:rPr>
                <w:sz w:val="20"/>
              </w:rPr>
            </w:pPr>
            <w:r>
              <w:rPr>
                <w:sz w:val="20"/>
              </w:rPr>
              <w:t xml:space="preserve">Národní inovační fond (NIF) - </w:t>
            </w:r>
            <w:r w:rsidRPr="006B49A1">
              <w:rPr>
                <w:sz w:val="20"/>
              </w:rPr>
              <w:t xml:space="preserve">Účinnější využívání alternativních forem financování rozvoje </w:t>
            </w:r>
            <w:r>
              <w:rPr>
                <w:sz w:val="20"/>
              </w:rPr>
              <w:t>MSP</w:t>
            </w:r>
            <w:r w:rsidRPr="006B49A1">
              <w:rPr>
                <w:sz w:val="20"/>
              </w:rPr>
              <w:t xml:space="preserve"> a rozvoj nových návratných forem podpory podnikání za účasti soukromého sektoru</w:t>
            </w:r>
            <w:r>
              <w:rPr>
                <w:sz w:val="20"/>
              </w:rPr>
              <w:t>.</w:t>
            </w:r>
          </w:p>
        </w:tc>
      </w:tr>
    </w:tbl>
    <w:p w:rsidR="009835E1" w:rsidRDefault="009835E1" w:rsidP="009835E1"/>
    <w:p w:rsidR="009835E1" w:rsidRPr="00AA1768" w:rsidRDefault="009835E1" w:rsidP="009835E1"/>
    <w:p w:rsidR="009835E1" w:rsidRDefault="009835E1" w:rsidP="009835E1">
      <w:pPr>
        <w:pStyle w:val="Nadpis2"/>
        <w:numPr>
          <w:ilvl w:val="1"/>
          <w:numId w:val="11"/>
        </w:numPr>
      </w:pPr>
      <w:bookmarkStart w:id="4" w:name="_Toc433272198"/>
      <w:r>
        <w:t>Internacionalizace podnikání MSP</w:t>
      </w:r>
      <w:bookmarkEnd w:id="4"/>
      <w:r w:rsidRPr="0018688A">
        <w:t xml:space="preserve"> </w:t>
      </w:r>
    </w:p>
    <w:p w:rsidR="009835E1" w:rsidRDefault="009835E1" w:rsidP="009835E1"/>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50"/>
        <w:gridCol w:w="1276"/>
        <w:gridCol w:w="1134"/>
        <w:gridCol w:w="1276"/>
        <w:gridCol w:w="3118"/>
      </w:tblGrid>
      <w:tr w:rsidR="009835E1" w:rsidRPr="009C1CB4" w:rsidTr="009835E1">
        <w:tc>
          <w:tcPr>
            <w:tcW w:w="2269" w:type="dxa"/>
            <w:shd w:val="clear" w:color="auto" w:fill="E36C0A"/>
          </w:tcPr>
          <w:p w:rsidR="009835E1" w:rsidRPr="009C1CB4" w:rsidRDefault="009835E1" w:rsidP="009835E1">
            <w:pPr>
              <w:spacing w:after="0"/>
              <w:rPr>
                <w:b/>
                <w:sz w:val="20"/>
              </w:rPr>
            </w:pPr>
            <w:r>
              <w:br w:type="page"/>
            </w:r>
            <w:r>
              <w:rPr>
                <w:b/>
                <w:sz w:val="20"/>
              </w:rPr>
              <w:t>Aktivita/</w:t>
            </w:r>
            <w:r w:rsidRPr="009C1CB4">
              <w:rPr>
                <w:b/>
                <w:sz w:val="20"/>
              </w:rPr>
              <w:t xml:space="preserve"> úkol</w:t>
            </w:r>
          </w:p>
        </w:tc>
        <w:tc>
          <w:tcPr>
            <w:tcW w:w="850" w:type="dxa"/>
            <w:shd w:val="clear" w:color="auto" w:fill="E36C0A"/>
          </w:tcPr>
          <w:p w:rsidR="009835E1" w:rsidRDefault="009835E1" w:rsidP="009835E1">
            <w:pPr>
              <w:spacing w:after="0"/>
              <w:rPr>
                <w:b/>
                <w:sz w:val="20"/>
              </w:rPr>
            </w:pPr>
            <w:r>
              <w:rPr>
                <w:b/>
                <w:sz w:val="20"/>
              </w:rPr>
              <w:t>Gestor</w:t>
            </w:r>
          </w:p>
        </w:tc>
        <w:tc>
          <w:tcPr>
            <w:tcW w:w="1276" w:type="dxa"/>
            <w:shd w:val="clear" w:color="auto" w:fill="E36C0A"/>
          </w:tcPr>
          <w:p w:rsidR="009835E1" w:rsidRPr="009C1CB4" w:rsidRDefault="009835E1" w:rsidP="009835E1">
            <w:pPr>
              <w:spacing w:after="0"/>
              <w:rPr>
                <w:b/>
                <w:sz w:val="20"/>
              </w:rPr>
            </w:pPr>
            <w:proofErr w:type="spellStart"/>
            <w:r>
              <w:rPr>
                <w:b/>
                <w:sz w:val="20"/>
              </w:rPr>
              <w:t>Spolugestor</w:t>
            </w:r>
            <w:proofErr w:type="spellEnd"/>
          </w:p>
        </w:tc>
        <w:tc>
          <w:tcPr>
            <w:tcW w:w="1134" w:type="dxa"/>
            <w:shd w:val="clear" w:color="auto" w:fill="E36C0A"/>
          </w:tcPr>
          <w:p w:rsidR="009835E1" w:rsidRPr="009C1CB4" w:rsidRDefault="009835E1" w:rsidP="009835E1">
            <w:pPr>
              <w:spacing w:after="0"/>
              <w:rPr>
                <w:b/>
                <w:sz w:val="20"/>
              </w:rPr>
            </w:pPr>
            <w:r w:rsidRPr="009C1CB4">
              <w:rPr>
                <w:b/>
                <w:sz w:val="20"/>
              </w:rPr>
              <w:t>Termín</w:t>
            </w:r>
          </w:p>
        </w:tc>
        <w:tc>
          <w:tcPr>
            <w:tcW w:w="1276" w:type="dxa"/>
            <w:shd w:val="clear" w:color="auto" w:fill="E36C0A"/>
          </w:tcPr>
          <w:p w:rsidR="009835E1" w:rsidRPr="009C1CB4" w:rsidRDefault="009835E1" w:rsidP="009835E1">
            <w:pPr>
              <w:spacing w:after="0"/>
              <w:rPr>
                <w:b/>
                <w:sz w:val="20"/>
              </w:rPr>
            </w:pPr>
            <w:r w:rsidRPr="009C1CB4">
              <w:rPr>
                <w:b/>
                <w:sz w:val="20"/>
              </w:rPr>
              <w:t>Financování</w:t>
            </w:r>
          </w:p>
        </w:tc>
        <w:tc>
          <w:tcPr>
            <w:tcW w:w="3118" w:type="dxa"/>
            <w:shd w:val="clear" w:color="auto" w:fill="E36C0A"/>
          </w:tcPr>
          <w:p w:rsidR="009835E1" w:rsidRPr="009C1CB4" w:rsidRDefault="009835E1" w:rsidP="009835E1">
            <w:pPr>
              <w:spacing w:after="0"/>
              <w:rPr>
                <w:b/>
                <w:sz w:val="20"/>
              </w:rPr>
            </w:pPr>
            <w:r>
              <w:rPr>
                <w:b/>
                <w:sz w:val="20"/>
              </w:rPr>
              <w:t>Nástroj realizace opatření</w:t>
            </w:r>
          </w:p>
        </w:tc>
      </w:tr>
      <w:tr w:rsidR="009835E1" w:rsidRPr="00283744" w:rsidTr="009835E1">
        <w:tc>
          <w:tcPr>
            <w:tcW w:w="2269" w:type="dxa"/>
          </w:tcPr>
          <w:p w:rsidR="009835E1" w:rsidRPr="00A35ABD" w:rsidRDefault="009835E1" w:rsidP="009835E1">
            <w:pPr>
              <w:numPr>
                <w:ilvl w:val="0"/>
                <w:numId w:val="10"/>
              </w:numPr>
              <w:overflowPunct/>
              <w:autoSpaceDE/>
              <w:autoSpaceDN/>
              <w:adjustRightInd/>
              <w:spacing w:after="0" w:line="240" w:lineRule="auto"/>
              <w:textAlignment w:val="auto"/>
              <w:rPr>
                <w:sz w:val="20"/>
              </w:rPr>
            </w:pPr>
            <w:r w:rsidRPr="009123D2">
              <w:rPr>
                <w:sz w:val="20"/>
              </w:rPr>
              <w:t xml:space="preserve">Podpora internacionalizace MSP jejich zapojováním do mezinárodních programů, jako např. v oblasti </w:t>
            </w:r>
            <w:r w:rsidRPr="009123D2">
              <w:rPr>
                <w:sz w:val="20"/>
              </w:rPr>
              <w:lastRenderedPageBreak/>
              <w:t>výzkumné spolupráce (Horizont 2020, COSME</w:t>
            </w:r>
            <w:r>
              <w:rPr>
                <w:sz w:val="20"/>
              </w:rPr>
              <w:t xml:space="preserve">, </w:t>
            </w:r>
            <w:proofErr w:type="spellStart"/>
            <w:r>
              <w:rPr>
                <w:sz w:val="20"/>
              </w:rPr>
              <w:t>BISONet</w:t>
            </w:r>
            <w:proofErr w:type="spellEnd"/>
            <w:r>
              <w:rPr>
                <w:sz w:val="20"/>
              </w:rPr>
              <w:t xml:space="preserve"> Plus</w:t>
            </w:r>
            <w:r w:rsidRPr="009123D2">
              <w:rPr>
                <w:sz w:val="20"/>
              </w:rPr>
              <w:t>)</w:t>
            </w:r>
          </w:p>
        </w:tc>
        <w:tc>
          <w:tcPr>
            <w:tcW w:w="850" w:type="dxa"/>
          </w:tcPr>
          <w:p w:rsidR="009835E1" w:rsidRPr="009123D2" w:rsidRDefault="009835E1" w:rsidP="00C954CD">
            <w:pPr>
              <w:overflowPunct/>
              <w:autoSpaceDE/>
              <w:autoSpaceDN/>
              <w:adjustRightInd/>
              <w:spacing w:after="0" w:line="240" w:lineRule="auto"/>
              <w:jc w:val="both"/>
              <w:textAlignment w:val="auto"/>
              <w:rPr>
                <w:sz w:val="20"/>
              </w:rPr>
            </w:pPr>
            <w:r>
              <w:rPr>
                <w:sz w:val="20"/>
              </w:rPr>
              <w:lastRenderedPageBreak/>
              <w:t>MPO 61000</w:t>
            </w:r>
          </w:p>
        </w:tc>
        <w:tc>
          <w:tcPr>
            <w:tcW w:w="1276" w:type="dxa"/>
          </w:tcPr>
          <w:p w:rsidR="009835E1" w:rsidRDefault="009835E1" w:rsidP="00C954CD">
            <w:pPr>
              <w:overflowPunct/>
              <w:autoSpaceDE/>
              <w:autoSpaceDN/>
              <w:adjustRightInd/>
              <w:spacing w:after="0" w:line="240" w:lineRule="auto"/>
              <w:textAlignment w:val="auto"/>
              <w:rPr>
                <w:sz w:val="20"/>
              </w:rPr>
            </w:pPr>
            <w:r>
              <w:rPr>
                <w:sz w:val="20"/>
              </w:rPr>
              <w:t>MPO 610</w:t>
            </w:r>
            <w:r w:rsidRPr="009123D2">
              <w:rPr>
                <w:sz w:val="20"/>
              </w:rPr>
              <w:t>00</w:t>
            </w:r>
            <w:r>
              <w:rPr>
                <w:sz w:val="20"/>
              </w:rPr>
              <w:t>, EEN</w:t>
            </w:r>
          </w:p>
        </w:tc>
        <w:tc>
          <w:tcPr>
            <w:tcW w:w="1134" w:type="dxa"/>
          </w:tcPr>
          <w:p w:rsidR="009835E1" w:rsidRDefault="009835E1" w:rsidP="00C954CD">
            <w:pPr>
              <w:overflowPunct/>
              <w:autoSpaceDE/>
              <w:autoSpaceDN/>
              <w:adjustRightInd/>
              <w:spacing w:after="0" w:line="240" w:lineRule="auto"/>
              <w:jc w:val="both"/>
              <w:textAlignment w:val="auto"/>
              <w:rPr>
                <w:sz w:val="20"/>
              </w:rPr>
            </w:pPr>
            <w:r>
              <w:rPr>
                <w:sz w:val="20"/>
              </w:rPr>
              <w:t>12/2016</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Pr>
                <w:sz w:val="20"/>
              </w:rPr>
              <w:t>Rozpočet MPO, Evropská komise</w:t>
            </w:r>
          </w:p>
        </w:tc>
        <w:tc>
          <w:tcPr>
            <w:tcW w:w="3118" w:type="dxa"/>
          </w:tcPr>
          <w:p w:rsidR="009835E1" w:rsidRDefault="009835E1" w:rsidP="00F54698">
            <w:pPr>
              <w:overflowPunct/>
              <w:autoSpaceDE/>
              <w:autoSpaceDN/>
              <w:adjustRightInd/>
              <w:spacing w:after="0" w:line="240" w:lineRule="auto"/>
              <w:jc w:val="both"/>
              <w:textAlignment w:val="auto"/>
              <w:rPr>
                <w:sz w:val="20"/>
              </w:rPr>
            </w:pPr>
            <w:r>
              <w:rPr>
                <w:sz w:val="20"/>
              </w:rPr>
              <w:t>MPO bude finančně podporovat rozvoj</w:t>
            </w:r>
            <w:r w:rsidRPr="009123D2">
              <w:rPr>
                <w:sz w:val="20"/>
              </w:rPr>
              <w:t xml:space="preserve"> sítě EEN</w:t>
            </w:r>
            <w:r>
              <w:rPr>
                <w:sz w:val="20"/>
              </w:rPr>
              <w:t xml:space="preserve"> v ČR</w:t>
            </w:r>
            <w:r w:rsidRPr="009123D2">
              <w:rPr>
                <w:sz w:val="20"/>
              </w:rPr>
              <w:t xml:space="preserve">. </w:t>
            </w:r>
          </w:p>
          <w:p w:rsidR="009835E1" w:rsidRPr="009123D2" w:rsidRDefault="009835E1" w:rsidP="00F54698">
            <w:pPr>
              <w:overflowPunct/>
              <w:autoSpaceDE/>
              <w:autoSpaceDN/>
              <w:adjustRightInd/>
              <w:spacing w:after="0" w:line="240" w:lineRule="auto"/>
              <w:jc w:val="both"/>
              <w:textAlignment w:val="auto"/>
              <w:rPr>
                <w:sz w:val="20"/>
              </w:rPr>
            </w:pPr>
          </w:p>
          <w:p w:rsidR="009835E1" w:rsidRPr="00F54698" w:rsidRDefault="009835E1" w:rsidP="00F54698">
            <w:pPr>
              <w:overflowPunct/>
              <w:autoSpaceDE/>
              <w:autoSpaceDN/>
              <w:adjustRightInd/>
              <w:spacing w:after="0" w:line="240" w:lineRule="auto"/>
              <w:jc w:val="both"/>
              <w:textAlignment w:val="auto"/>
              <w:rPr>
                <w:sz w:val="20"/>
              </w:rPr>
            </w:pPr>
            <w:r w:rsidRPr="00C05ED7">
              <w:rPr>
                <w:sz w:val="20"/>
              </w:rPr>
              <w:t xml:space="preserve">Síť EEN (i nadále kofinancováno MPO) - Formou poskytování odborných služeb zaměřených na podporu a zvyšování </w:t>
            </w:r>
            <w:r w:rsidRPr="00C05ED7">
              <w:rPr>
                <w:sz w:val="20"/>
              </w:rPr>
              <w:lastRenderedPageBreak/>
              <w:t>konkurenceschopnosti především MSP. Aktivity sítě se orientují na individuální poradenství pro firmy, odborné semináře, konference, zajištění účasti firem na mezinárodních obchodních burzách, zprostředkování kontaktů ze speciální mezinárodní databáze a vydávání odborně zaměřených publikací o podnikání v EU.</w:t>
            </w:r>
          </w:p>
        </w:tc>
      </w:tr>
      <w:tr w:rsidR="009835E1" w:rsidRPr="00283744" w:rsidTr="009835E1">
        <w:tc>
          <w:tcPr>
            <w:tcW w:w="2269" w:type="dxa"/>
          </w:tcPr>
          <w:p w:rsidR="009835E1" w:rsidRPr="00C05ED7" w:rsidRDefault="009835E1" w:rsidP="009835E1">
            <w:pPr>
              <w:numPr>
                <w:ilvl w:val="0"/>
                <w:numId w:val="10"/>
              </w:numPr>
              <w:overflowPunct/>
              <w:autoSpaceDE/>
              <w:autoSpaceDN/>
              <w:adjustRightInd/>
              <w:spacing w:after="0" w:line="240" w:lineRule="auto"/>
              <w:textAlignment w:val="auto"/>
              <w:rPr>
                <w:sz w:val="20"/>
              </w:rPr>
            </w:pPr>
            <w:r w:rsidRPr="00C05ED7">
              <w:rPr>
                <w:sz w:val="20"/>
              </w:rPr>
              <w:lastRenderedPageBreak/>
              <w:t>Zavedení resp. rozšíření vhodných forem exportního financování a pojištění pro MSP</w:t>
            </w:r>
          </w:p>
        </w:tc>
        <w:tc>
          <w:tcPr>
            <w:tcW w:w="850" w:type="dxa"/>
          </w:tcPr>
          <w:p w:rsidR="009835E1" w:rsidRPr="00C05ED7" w:rsidRDefault="009835E1" w:rsidP="00C954CD">
            <w:pPr>
              <w:overflowPunct/>
              <w:autoSpaceDE/>
              <w:autoSpaceDN/>
              <w:adjustRightInd/>
              <w:spacing w:after="0" w:line="240" w:lineRule="auto"/>
              <w:jc w:val="both"/>
              <w:textAlignment w:val="auto"/>
              <w:rPr>
                <w:sz w:val="20"/>
              </w:rPr>
            </w:pPr>
            <w:r>
              <w:rPr>
                <w:sz w:val="20"/>
              </w:rPr>
              <w:t>MPO 51000</w:t>
            </w:r>
          </w:p>
        </w:tc>
        <w:tc>
          <w:tcPr>
            <w:tcW w:w="1276" w:type="dxa"/>
          </w:tcPr>
          <w:p w:rsidR="009835E1" w:rsidRPr="00C05ED7" w:rsidRDefault="009835E1" w:rsidP="00C954CD">
            <w:pPr>
              <w:overflowPunct/>
              <w:autoSpaceDE/>
              <w:autoSpaceDN/>
              <w:adjustRightInd/>
              <w:spacing w:after="0" w:line="240" w:lineRule="auto"/>
              <w:jc w:val="both"/>
              <w:textAlignment w:val="auto"/>
              <w:rPr>
                <w:sz w:val="20"/>
              </w:rPr>
            </w:pPr>
            <w:r w:rsidRPr="00C05ED7">
              <w:rPr>
                <w:sz w:val="20"/>
              </w:rPr>
              <w:t>ČEB, EGAP</w:t>
            </w:r>
          </w:p>
        </w:tc>
        <w:tc>
          <w:tcPr>
            <w:tcW w:w="1134" w:type="dxa"/>
          </w:tcPr>
          <w:p w:rsidR="009835E1" w:rsidRPr="00C05ED7" w:rsidRDefault="009835E1" w:rsidP="00C954CD">
            <w:pPr>
              <w:overflowPunct/>
              <w:autoSpaceDE/>
              <w:autoSpaceDN/>
              <w:adjustRightInd/>
              <w:spacing w:after="0" w:line="240" w:lineRule="auto"/>
              <w:jc w:val="both"/>
              <w:textAlignment w:val="auto"/>
              <w:rPr>
                <w:sz w:val="20"/>
              </w:rPr>
            </w:pPr>
            <w:r w:rsidRPr="00C05ED7">
              <w:rPr>
                <w:sz w:val="20"/>
              </w:rPr>
              <w:t>Průběžně</w:t>
            </w:r>
          </w:p>
        </w:tc>
        <w:tc>
          <w:tcPr>
            <w:tcW w:w="1276" w:type="dxa"/>
          </w:tcPr>
          <w:p w:rsidR="009835E1" w:rsidRPr="00C05ED7" w:rsidRDefault="009835E1" w:rsidP="00C954CD">
            <w:pPr>
              <w:overflowPunct/>
              <w:autoSpaceDE/>
              <w:autoSpaceDN/>
              <w:adjustRightInd/>
              <w:spacing w:after="0" w:line="240" w:lineRule="auto"/>
              <w:jc w:val="both"/>
              <w:textAlignment w:val="auto"/>
              <w:rPr>
                <w:sz w:val="20"/>
              </w:rPr>
            </w:pPr>
            <w:r>
              <w:rPr>
                <w:sz w:val="20"/>
              </w:rPr>
              <w:t>Státní rozpočet (VPS</w:t>
            </w:r>
            <w:r w:rsidRPr="00C954CD">
              <w:footnoteReference w:id="2"/>
            </w:r>
            <w:r>
              <w:rPr>
                <w:sz w:val="20"/>
              </w:rPr>
              <w:t>)</w:t>
            </w:r>
          </w:p>
        </w:tc>
        <w:tc>
          <w:tcPr>
            <w:tcW w:w="3118" w:type="dxa"/>
          </w:tcPr>
          <w:p w:rsidR="009835E1" w:rsidRPr="00C05ED7" w:rsidRDefault="009835E1" w:rsidP="00F54698">
            <w:pPr>
              <w:overflowPunct/>
              <w:autoSpaceDE/>
              <w:autoSpaceDN/>
              <w:adjustRightInd/>
              <w:spacing w:after="0" w:line="240" w:lineRule="auto"/>
              <w:jc w:val="both"/>
              <w:textAlignment w:val="auto"/>
              <w:rPr>
                <w:sz w:val="20"/>
              </w:rPr>
            </w:pPr>
            <w:r w:rsidRPr="00C05ED7">
              <w:rPr>
                <w:sz w:val="20"/>
              </w:rPr>
              <w:t>V rámci nabídky produktů EGAP a ČEB zajistit finanční a marketingovou podporu exportních aktivit MSP poskytováním pojištění a záruk pro podporu vývozců a institucí financujících vývoz domácích výrobků a služeb.</w:t>
            </w:r>
          </w:p>
        </w:tc>
      </w:tr>
      <w:tr w:rsidR="009835E1" w:rsidRPr="00283744" w:rsidTr="009835E1">
        <w:tc>
          <w:tcPr>
            <w:tcW w:w="2269" w:type="dxa"/>
          </w:tcPr>
          <w:p w:rsidR="009835E1" w:rsidRPr="00167629" w:rsidRDefault="009835E1" w:rsidP="009835E1">
            <w:pPr>
              <w:numPr>
                <w:ilvl w:val="0"/>
                <w:numId w:val="10"/>
              </w:numPr>
              <w:overflowPunct/>
              <w:autoSpaceDE/>
              <w:autoSpaceDN/>
              <w:adjustRightInd/>
              <w:spacing w:after="0" w:line="240" w:lineRule="auto"/>
              <w:textAlignment w:val="auto"/>
              <w:rPr>
                <w:sz w:val="20"/>
              </w:rPr>
            </w:pPr>
            <w:r w:rsidRPr="00D41A4A">
              <w:rPr>
                <w:sz w:val="20"/>
              </w:rPr>
              <w:t>Podpora individuálních účastí MSP na veletrzích a výstavách</w:t>
            </w:r>
          </w:p>
        </w:tc>
        <w:tc>
          <w:tcPr>
            <w:tcW w:w="850" w:type="dxa"/>
          </w:tcPr>
          <w:p w:rsidR="009835E1" w:rsidRPr="00530CF4" w:rsidRDefault="009835E1" w:rsidP="00C954CD">
            <w:pPr>
              <w:overflowPunct/>
              <w:autoSpaceDE/>
              <w:autoSpaceDN/>
              <w:adjustRightInd/>
              <w:spacing w:after="0" w:line="240" w:lineRule="auto"/>
              <w:jc w:val="both"/>
              <w:textAlignment w:val="auto"/>
              <w:rPr>
                <w:sz w:val="20"/>
              </w:rPr>
            </w:pPr>
            <w:r w:rsidRPr="00530CF4">
              <w:rPr>
                <w:sz w:val="20"/>
              </w:rPr>
              <w:t>MPO 61</w:t>
            </w:r>
            <w:r>
              <w:rPr>
                <w:sz w:val="20"/>
              </w:rPr>
              <w:t>0</w:t>
            </w:r>
            <w:r w:rsidRPr="00530CF4">
              <w:rPr>
                <w:sz w:val="20"/>
              </w:rPr>
              <w:t>00</w:t>
            </w:r>
          </w:p>
        </w:tc>
        <w:tc>
          <w:tcPr>
            <w:tcW w:w="1276" w:type="dxa"/>
          </w:tcPr>
          <w:p w:rsidR="009835E1" w:rsidRPr="00530CF4" w:rsidRDefault="009835E1" w:rsidP="00C954CD">
            <w:pPr>
              <w:overflowPunct/>
              <w:autoSpaceDE/>
              <w:autoSpaceDN/>
              <w:adjustRightInd/>
              <w:spacing w:after="0" w:line="240" w:lineRule="auto"/>
              <w:jc w:val="both"/>
              <w:textAlignment w:val="auto"/>
              <w:rPr>
                <w:sz w:val="20"/>
              </w:rPr>
            </w:pPr>
            <w:proofErr w:type="spellStart"/>
            <w:r w:rsidRPr="00010B84">
              <w:rPr>
                <w:sz w:val="20"/>
              </w:rPr>
              <w:t>CzechInvest</w:t>
            </w:r>
            <w:proofErr w:type="spellEnd"/>
            <w:r w:rsidRPr="00010B84">
              <w:rPr>
                <w:sz w:val="20"/>
              </w:rPr>
              <w:t xml:space="preserve"> (příp. API)</w:t>
            </w:r>
          </w:p>
        </w:tc>
        <w:tc>
          <w:tcPr>
            <w:tcW w:w="1134" w:type="dxa"/>
          </w:tcPr>
          <w:p w:rsidR="009835E1" w:rsidRPr="00530CF4" w:rsidRDefault="009835E1" w:rsidP="00C954CD">
            <w:pPr>
              <w:overflowPunct/>
              <w:autoSpaceDE/>
              <w:autoSpaceDN/>
              <w:adjustRightInd/>
              <w:spacing w:after="0" w:line="240" w:lineRule="auto"/>
              <w:jc w:val="both"/>
              <w:textAlignment w:val="auto"/>
              <w:rPr>
                <w:sz w:val="20"/>
              </w:rPr>
            </w:pPr>
            <w:r w:rsidRPr="00530CF4">
              <w:rPr>
                <w:sz w:val="20"/>
              </w:rPr>
              <w:t>Dle harmonogramu přípravy OP PIK</w:t>
            </w:r>
          </w:p>
        </w:tc>
        <w:tc>
          <w:tcPr>
            <w:tcW w:w="1276" w:type="dxa"/>
          </w:tcPr>
          <w:p w:rsidR="009835E1" w:rsidRPr="00530CF4" w:rsidRDefault="009835E1" w:rsidP="00C954CD">
            <w:pPr>
              <w:overflowPunct/>
              <w:autoSpaceDE/>
              <w:autoSpaceDN/>
              <w:adjustRightInd/>
              <w:spacing w:after="0" w:line="240" w:lineRule="auto"/>
              <w:jc w:val="both"/>
              <w:textAlignment w:val="auto"/>
              <w:rPr>
                <w:sz w:val="20"/>
              </w:rPr>
            </w:pPr>
            <w:r w:rsidRPr="00530CF4">
              <w:rPr>
                <w:sz w:val="20"/>
              </w:rPr>
              <w:t xml:space="preserve">PO2 </w:t>
            </w:r>
            <w:r w:rsidRPr="00F504BE">
              <w:rPr>
                <w:sz w:val="20"/>
              </w:rPr>
              <w:t>OP PIK</w:t>
            </w:r>
          </w:p>
        </w:tc>
        <w:tc>
          <w:tcPr>
            <w:tcW w:w="3118" w:type="dxa"/>
          </w:tcPr>
          <w:p w:rsidR="009835E1" w:rsidRPr="00B177DD" w:rsidRDefault="009835E1" w:rsidP="00F54698">
            <w:pPr>
              <w:overflowPunct/>
              <w:autoSpaceDE/>
              <w:autoSpaceDN/>
              <w:adjustRightInd/>
              <w:spacing w:after="0" w:line="240" w:lineRule="auto"/>
              <w:jc w:val="both"/>
              <w:textAlignment w:val="auto"/>
              <w:rPr>
                <w:sz w:val="20"/>
              </w:rPr>
            </w:pPr>
            <w:r>
              <w:rPr>
                <w:sz w:val="20"/>
              </w:rPr>
              <w:t>Vyhlášení výzvy programu Marketing - U</w:t>
            </w:r>
            <w:r w:rsidRPr="00B177DD">
              <w:rPr>
                <w:sz w:val="20"/>
              </w:rPr>
              <w:t>snadnění vstupu MSP na zahraniční trhy prostřednictvím jejich individuálních účastí na zahraničních výstavách a veletrzích. Služby pro MSP zaměřené na mezinárodní konkurenceschopnost (doprava exponátů, marketingové propagační materiály)</w:t>
            </w:r>
            <w:r w:rsidR="009F1F1F">
              <w:rPr>
                <w:sz w:val="20"/>
              </w:rPr>
              <w:t>.</w:t>
            </w:r>
          </w:p>
        </w:tc>
      </w:tr>
      <w:tr w:rsidR="009835E1" w:rsidRPr="00283744" w:rsidTr="009835E1">
        <w:tc>
          <w:tcPr>
            <w:tcW w:w="2269" w:type="dxa"/>
          </w:tcPr>
          <w:p w:rsidR="009835E1" w:rsidRPr="00A05FD5" w:rsidRDefault="009835E1" w:rsidP="009835E1">
            <w:pPr>
              <w:numPr>
                <w:ilvl w:val="0"/>
                <w:numId w:val="10"/>
              </w:numPr>
              <w:overflowPunct/>
              <w:autoSpaceDE/>
              <w:autoSpaceDN/>
              <w:adjustRightInd/>
              <w:spacing w:after="0" w:line="240" w:lineRule="auto"/>
              <w:textAlignment w:val="auto"/>
              <w:rPr>
                <w:sz w:val="20"/>
              </w:rPr>
            </w:pPr>
            <w:r w:rsidRPr="00D41A4A">
              <w:rPr>
                <w:sz w:val="20"/>
              </w:rPr>
              <w:t>Podpora společných účastí MSP na veletrzích a výstavách</w:t>
            </w:r>
          </w:p>
        </w:tc>
        <w:tc>
          <w:tcPr>
            <w:tcW w:w="850" w:type="dxa"/>
          </w:tcPr>
          <w:p w:rsidR="009835E1" w:rsidRPr="008B466F" w:rsidRDefault="009835E1" w:rsidP="00C954CD">
            <w:pPr>
              <w:overflowPunct/>
              <w:autoSpaceDE/>
              <w:autoSpaceDN/>
              <w:adjustRightInd/>
              <w:spacing w:after="0" w:line="240" w:lineRule="auto"/>
              <w:jc w:val="both"/>
              <w:textAlignment w:val="auto"/>
              <w:rPr>
                <w:sz w:val="20"/>
              </w:rPr>
            </w:pPr>
            <w:r w:rsidRPr="00D41A4A">
              <w:rPr>
                <w:sz w:val="20"/>
              </w:rPr>
              <w:t>MPO 51000</w:t>
            </w:r>
          </w:p>
        </w:tc>
        <w:tc>
          <w:tcPr>
            <w:tcW w:w="1276" w:type="dxa"/>
          </w:tcPr>
          <w:p w:rsidR="009835E1" w:rsidRPr="00606F1B" w:rsidRDefault="009835E1" w:rsidP="00C954CD">
            <w:pPr>
              <w:overflowPunct/>
              <w:autoSpaceDE/>
              <w:autoSpaceDN/>
              <w:adjustRightInd/>
              <w:spacing w:after="0" w:line="240" w:lineRule="auto"/>
              <w:jc w:val="both"/>
              <w:textAlignment w:val="auto"/>
              <w:rPr>
                <w:sz w:val="20"/>
              </w:rPr>
            </w:pPr>
            <w:proofErr w:type="spellStart"/>
            <w:r>
              <w:rPr>
                <w:sz w:val="20"/>
              </w:rPr>
              <w:t>CzechTrade</w:t>
            </w:r>
            <w:proofErr w:type="spellEnd"/>
          </w:p>
        </w:tc>
        <w:tc>
          <w:tcPr>
            <w:tcW w:w="1134" w:type="dxa"/>
          </w:tcPr>
          <w:p w:rsidR="009835E1" w:rsidRPr="00606F1B" w:rsidRDefault="009835E1" w:rsidP="00C954CD">
            <w:pPr>
              <w:overflowPunct/>
              <w:autoSpaceDE/>
              <w:autoSpaceDN/>
              <w:adjustRightInd/>
              <w:spacing w:after="0" w:line="240" w:lineRule="auto"/>
              <w:jc w:val="both"/>
              <w:textAlignment w:val="auto"/>
              <w:rPr>
                <w:sz w:val="20"/>
              </w:rPr>
            </w:pPr>
            <w:r>
              <w:rPr>
                <w:sz w:val="20"/>
              </w:rPr>
              <w:t>Průběžně</w:t>
            </w:r>
          </w:p>
        </w:tc>
        <w:tc>
          <w:tcPr>
            <w:tcW w:w="1276" w:type="dxa"/>
          </w:tcPr>
          <w:p w:rsidR="009835E1" w:rsidRDefault="009835E1" w:rsidP="00C954CD">
            <w:pPr>
              <w:overflowPunct/>
              <w:autoSpaceDE/>
              <w:autoSpaceDN/>
              <w:adjustRightInd/>
              <w:spacing w:after="0" w:line="240" w:lineRule="auto"/>
              <w:jc w:val="both"/>
              <w:textAlignment w:val="auto"/>
              <w:rPr>
                <w:sz w:val="20"/>
              </w:rPr>
            </w:pPr>
            <w:r w:rsidRPr="00D41A4A">
              <w:rPr>
                <w:sz w:val="20"/>
              </w:rPr>
              <w:t>OP PIK</w:t>
            </w:r>
            <w:r>
              <w:rPr>
                <w:sz w:val="20"/>
              </w:rPr>
              <w:t>,</w:t>
            </w:r>
          </w:p>
          <w:p w:rsidR="009835E1" w:rsidRPr="00F8463D" w:rsidRDefault="009835E1" w:rsidP="00C954CD">
            <w:pPr>
              <w:overflowPunct/>
              <w:autoSpaceDE/>
              <w:autoSpaceDN/>
              <w:adjustRightInd/>
              <w:spacing w:after="0" w:line="240" w:lineRule="auto"/>
              <w:jc w:val="both"/>
              <w:textAlignment w:val="auto"/>
              <w:rPr>
                <w:sz w:val="20"/>
              </w:rPr>
            </w:pPr>
            <w:r>
              <w:rPr>
                <w:sz w:val="20"/>
              </w:rPr>
              <w:t>rozpočet MPO</w:t>
            </w:r>
          </w:p>
        </w:tc>
        <w:tc>
          <w:tcPr>
            <w:tcW w:w="3118" w:type="dxa"/>
          </w:tcPr>
          <w:p w:rsidR="009835E1" w:rsidRDefault="009835E1" w:rsidP="00F54698">
            <w:pPr>
              <w:overflowPunct/>
              <w:autoSpaceDE/>
              <w:autoSpaceDN/>
              <w:adjustRightInd/>
              <w:spacing w:after="0" w:line="240" w:lineRule="auto"/>
              <w:jc w:val="both"/>
              <w:textAlignment w:val="auto"/>
              <w:rPr>
                <w:sz w:val="20"/>
              </w:rPr>
            </w:pPr>
            <w:r>
              <w:rPr>
                <w:sz w:val="20"/>
              </w:rPr>
              <w:t>Vyhlášení výzvy programu Marketing - Interní</w:t>
            </w:r>
            <w:r w:rsidRPr="003F7A06">
              <w:rPr>
                <w:sz w:val="20"/>
              </w:rPr>
              <w:t xml:space="preserve"> proj</w:t>
            </w:r>
            <w:r>
              <w:rPr>
                <w:sz w:val="20"/>
              </w:rPr>
              <w:t>ekt</w:t>
            </w:r>
            <w:r w:rsidRPr="003F7A06">
              <w:rPr>
                <w:sz w:val="20"/>
              </w:rPr>
              <w:t xml:space="preserve"> agentury </w:t>
            </w:r>
            <w:proofErr w:type="spellStart"/>
            <w:r w:rsidRPr="003F7A06">
              <w:rPr>
                <w:sz w:val="20"/>
              </w:rPr>
              <w:t>CzechTrade</w:t>
            </w:r>
            <w:proofErr w:type="spellEnd"/>
            <w:r w:rsidRPr="003F7A06">
              <w:rPr>
                <w:sz w:val="20"/>
              </w:rPr>
              <w:t xml:space="preserve"> </w:t>
            </w:r>
            <w:r w:rsidRPr="00BC1385">
              <w:rPr>
                <w:sz w:val="20"/>
              </w:rPr>
              <w:t xml:space="preserve">NOVUMM </w:t>
            </w:r>
            <w:r>
              <w:rPr>
                <w:sz w:val="20"/>
              </w:rPr>
              <w:t>k</w:t>
            </w:r>
            <w:r w:rsidRPr="00BC1385">
              <w:rPr>
                <w:sz w:val="20"/>
              </w:rPr>
              <w:t xml:space="preserve"> podpoře účasti firem na zahraničních veletrzích a výstavách </w:t>
            </w:r>
            <w:r>
              <w:rPr>
                <w:sz w:val="20"/>
              </w:rPr>
              <w:t>v letech</w:t>
            </w:r>
            <w:r w:rsidRPr="00BC1385">
              <w:rPr>
                <w:sz w:val="20"/>
              </w:rPr>
              <w:t xml:space="preserve"> 2016-2018</w:t>
            </w:r>
            <w:r>
              <w:rPr>
                <w:sz w:val="20"/>
              </w:rPr>
              <w:t>,</w:t>
            </w:r>
            <w:r w:rsidRPr="00BC1385">
              <w:rPr>
                <w:sz w:val="20"/>
              </w:rPr>
              <w:t xml:space="preserve"> předpokládá </w:t>
            </w:r>
            <w:r>
              <w:rPr>
                <w:sz w:val="20"/>
              </w:rPr>
              <w:t xml:space="preserve">se </w:t>
            </w:r>
            <w:r w:rsidRPr="00BC1385">
              <w:rPr>
                <w:sz w:val="20"/>
              </w:rPr>
              <w:t xml:space="preserve">podpora na 150 veletržních akcích. </w:t>
            </w:r>
          </w:p>
          <w:p w:rsidR="009835E1" w:rsidRDefault="009835E1" w:rsidP="00F54698">
            <w:pPr>
              <w:overflowPunct/>
              <w:autoSpaceDE/>
              <w:autoSpaceDN/>
              <w:adjustRightInd/>
              <w:spacing w:after="0" w:line="240" w:lineRule="auto"/>
              <w:jc w:val="both"/>
              <w:textAlignment w:val="auto"/>
              <w:rPr>
                <w:sz w:val="20"/>
              </w:rPr>
            </w:pPr>
          </w:p>
          <w:p w:rsidR="009835E1" w:rsidRPr="00E81D4A" w:rsidRDefault="009835E1" w:rsidP="00F54698">
            <w:pPr>
              <w:overflowPunct/>
              <w:autoSpaceDE/>
              <w:autoSpaceDN/>
              <w:adjustRightInd/>
              <w:spacing w:after="0" w:line="240" w:lineRule="auto"/>
              <w:jc w:val="both"/>
              <w:textAlignment w:val="auto"/>
              <w:rPr>
                <w:sz w:val="20"/>
              </w:rPr>
            </w:pPr>
            <w:r>
              <w:rPr>
                <w:sz w:val="20"/>
              </w:rPr>
              <w:t xml:space="preserve">Pro podporu účasti MSP bude také možno využít </w:t>
            </w:r>
            <w:r w:rsidRPr="00391776">
              <w:rPr>
                <w:sz w:val="20"/>
              </w:rPr>
              <w:t>program Českých oficiálních účastí na veletrz</w:t>
            </w:r>
            <w:r w:rsidR="009F1F1F">
              <w:rPr>
                <w:sz w:val="20"/>
              </w:rPr>
              <w:t>ích a výstavách v zahraničí (ČOÚ</w:t>
            </w:r>
            <w:r w:rsidRPr="00391776">
              <w:rPr>
                <w:sz w:val="20"/>
              </w:rPr>
              <w:t>) -  možnost zúčastnit se vybraných mezinárodních veletrhů podporovaných MPO (na rok 2016 se předpokládá podpora na 25 veletržních akcích).</w:t>
            </w:r>
          </w:p>
        </w:tc>
      </w:tr>
      <w:tr w:rsidR="009835E1" w:rsidRPr="00283744" w:rsidTr="009835E1">
        <w:tc>
          <w:tcPr>
            <w:tcW w:w="2269" w:type="dxa"/>
          </w:tcPr>
          <w:p w:rsidR="009835E1" w:rsidRPr="00A05FD5" w:rsidRDefault="009835E1" w:rsidP="009835E1">
            <w:pPr>
              <w:numPr>
                <w:ilvl w:val="0"/>
                <w:numId w:val="10"/>
              </w:numPr>
              <w:overflowPunct/>
              <w:autoSpaceDE/>
              <w:autoSpaceDN/>
              <w:adjustRightInd/>
              <w:spacing w:after="0" w:line="240" w:lineRule="auto"/>
              <w:textAlignment w:val="auto"/>
              <w:rPr>
                <w:sz w:val="20"/>
              </w:rPr>
            </w:pPr>
            <w:r w:rsidRPr="003F7A06">
              <w:rPr>
                <w:sz w:val="20"/>
              </w:rPr>
              <w:t xml:space="preserve">Podpora aktivit vedoucích ke </w:t>
            </w:r>
            <w:r>
              <w:rPr>
                <w:sz w:val="20"/>
              </w:rPr>
              <w:t>z</w:t>
            </w:r>
            <w:r w:rsidRPr="003F7A06">
              <w:rPr>
                <w:sz w:val="20"/>
              </w:rPr>
              <w:t>výšení mezinárodní konkurenceschopnosti MSP prostřednictvím kvalitního designu produktů a jejich propagace v zahraničí (designov</w:t>
            </w:r>
            <w:r>
              <w:rPr>
                <w:sz w:val="20"/>
              </w:rPr>
              <w:t xml:space="preserve">é veletrhy a přehlídky </w:t>
            </w:r>
            <w:r>
              <w:rPr>
                <w:sz w:val="20"/>
              </w:rPr>
              <w:lastRenderedPageBreak/>
              <w:t>designu)</w:t>
            </w:r>
          </w:p>
        </w:tc>
        <w:tc>
          <w:tcPr>
            <w:tcW w:w="850" w:type="dxa"/>
          </w:tcPr>
          <w:p w:rsidR="009835E1" w:rsidRPr="003F7A06" w:rsidRDefault="009835E1" w:rsidP="00C954CD">
            <w:pPr>
              <w:overflowPunct/>
              <w:autoSpaceDE/>
              <w:autoSpaceDN/>
              <w:adjustRightInd/>
              <w:spacing w:after="0" w:line="240" w:lineRule="auto"/>
              <w:jc w:val="both"/>
              <w:textAlignment w:val="auto"/>
              <w:rPr>
                <w:sz w:val="20"/>
              </w:rPr>
            </w:pPr>
            <w:r w:rsidRPr="008B466F">
              <w:rPr>
                <w:sz w:val="20"/>
              </w:rPr>
              <w:lastRenderedPageBreak/>
              <w:t>MPO 61000</w:t>
            </w:r>
          </w:p>
        </w:tc>
        <w:tc>
          <w:tcPr>
            <w:tcW w:w="1276" w:type="dxa"/>
          </w:tcPr>
          <w:p w:rsidR="009835E1" w:rsidRPr="00606F1B" w:rsidRDefault="009835E1" w:rsidP="00C954CD">
            <w:pPr>
              <w:overflowPunct/>
              <w:autoSpaceDE/>
              <w:autoSpaceDN/>
              <w:adjustRightInd/>
              <w:spacing w:after="0" w:line="240" w:lineRule="auto"/>
              <w:jc w:val="both"/>
              <w:textAlignment w:val="auto"/>
              <w:rPr>
                <w:sz w:val="20"/>
              </w:rPr>
            </w:pPr>
            <w:proofErr w:type="spellStart"/>
            <w:r w:rsidRPr="003F7A06">
              <w:rPr>
                <w:sz w:val="20"/>
              </w:rPr>
              <w:t>CzechTrade</w:t>
            </w:r>
            <w:proofErr w:type="spellEnd"/>
          </w:p>
        </w:tc>
        <w:tc>
          <w:tcPr>
            <w:tcW w:w="1134" w:type="dxa"/>
          </w:tcPr>
          <w:p w:rsidR="009835E1" w:rsidRPr="00606F1B" w:rsidRDefault="009835E1" w:rsidP="00C954CD">
            <w:pPr>
              <w:overflowPunct/>
              <w:autoSpaceDE/>
              <w:autoSpaceDN/>
              <w:adjustRightInd/>
              <w:spacing w:after="0" w:line="240" w:lineRule="auto"/>
              <w:jc w:val="both"/>
              <w:textAlignment w:val="auto"/>
              <w:rPr>
                <w:sz w:val="20"/>
              </w:rPr>
            </w:pPr>
            <w:r>
              <w:rPr>
                <w:sz w:val="20"/>
              </w:rPr>
              <w:t>Průběžně</w:t>
            </w:r>
          </w:p>
        </w:tc>
        <w:tc>
          <w:tcPr>
            <w:tcW w:w="1276" w:type="dxa"/>
          </w:tcPr>
          <w:p w:rsidR="009835E1" w:rsidRPr="00F8463D" w:rsidRDefault="009835E1" w:rsidP="00C954CD">
            <w:pPr>
              <w:overflowPunct/>
              <w:autoSpaceDE/>
              <w:autoSpaceDN/>
              <w:adjustRightInd/>
              <w:spacing w:after="0" w:line="240" w:lineRule="auto"/>
              <w:jc w:val="both"/>
              <w:textAlignment w:val="auto"/>
              <w:rPr>
                <w:sz w:val="20"/>
              </w:rPr>
            </w:pPr>
            <w:r w:rsidRPr="00F504BE">
              <w:rPr>
                <w:sz w:val="20"/>
              </w:rPr>
              <w:t>OP PIK</w:t>
            </w:r>
          </w:p>
        </w:tc>
        <w:tc>
          <w:tcPr>
            <w:tcW w:w="3118" w:type="dxa"/>
          </w:tcPr>
          <w:p w:rsidR="009835E1" w:rsidRPr="003F7A06" w:rsidRDefault="009835E1" w:rsidP="00F54698">
            <w:pPr>
              <w:overflowPunct/>
              <w:autoSpaceDE/>
              <w:autoSpaceDN/>
              <w:adjustRightInd/>
              <w:spacing w:after="0" w:line="240" w:lineRule="auto"/>
              <w:jc w:val="both"/>
              <w:textAlignment w:val="auto"/>
              <w:rPr>
                <w:sz w:val="20"/>
              </w:rPr>
            </w:pPr>
            <w:r>
              <w:rPr>
                <w:sz w:val="20"/>
              </w:rPr>
              <w:t>Vyhlášení výzvy programu Marketing - Interní</w:t>
            </w:r>
            <w:r w:rsidRPr="003F7A06">
              <w:rPr>
                <w:sz w:val="20"/>
              </w:rPr>
              <w:t xml:space="preserve"> proj</w:t>
            </w:r>
            <w:r>
              <w:rPr>
                <w:sz w:val="20"/>
              </w:rPr>
              <w:t>ekt</w:t>
            </w:r>
            <w:r w:rsidRPr="003F7A06">
              <w:rPr>
                <w:sz w:val="20"/>
              </w:rPr>
              <w:t xml:space="preserve"> agentury </w:t>
            </w:r>
            <w:proofErr w:type="spellStart"/>
            <w:r w:rsidRPr="003F7A06">
              <w:rPr>
                <w:sz w:val="20"/>
              </w:rPr>
              <w:t>CzechTrade</w:t>
            </w:r>
            <w:proofErr w:type="spellEnd"/>
            <w:r w:rsidRPr="003F7A06">
              <w:rPr>
                <w:sz w:val="20"/>
              </w:rPr>
              <w:t xml:space="preserve"> DESIGN 2</w:t>
            </w:r>
            <w:r>
              <w:rPr>
                <w:sz w:val="20"/>
              </w:rPr>
              <w:t>. P</w:t>
            </w:r>
            <w:r w:rsidRPr="003F7A06">
              <w:rPr>
                <w:sz w:val="20"/>
              </w:rPr>
              <w:t>odpora individuálních expozic s důrazem na design jednotlivých prezentací (stánků, produktů)</w:t>
            </w:r>
          </w:p>
        </w:tc>
      </w:tr>
      <w:tr w:rsidR="009835E1" w:rsidRPr="00283744" w:rsidTr="009835E1">
        <w:tc>
          <w:tcPr>
            <w:tcW w:w="2269" w:type="dxa"/>
          </w:tcPr>
          <w:p w:rsidR="009835E1" w:rsidRPr="003F7A06" w:rsidRDefault="009835E1" w:rsidP="009835E1">
            <w:pPr>
              <w:numPr>
                <w:ilvl w:val="0"/>
                <w:numId w:val="10"/>
              </w:numPr>
              <w:overflowPunct/>
              <w:autoSpaceDE/>
              <w:autoSpaceDN/>
              <w:adjustRightInd/>
              <w:spacing w:after="0" w:line="240" w:lineRule="auto"/>
              <w:textAlignment w:val="auto"/>
              <w:rPr>
                <w:sz w:val="20"/>
              </w:rPr>
            </w:pPr>
            <w:r w:rsidRPr="006850CB">
              <w:rPr>
                <w:sz w:val="20"/>
              </w:rPr>
              <w:lastRenderedPageBreak/>
              <w:t xml:space="preserve">V rámci programů </w:t>
            </w:r>
            <w:proofErr w:type="spellStart"/>
            <w:r w:rsidRPr="006850CB">
              <w:rPr>
                <w:sz w:val="20"/>
              </w:rPr>
              <w:t>VaVaI</w:t>
            </w:r>
            <w:proofErr w:type="spellEnd"/>
            <w:r w:rsidRPr="006850CB">
              <w:rPr>
                <w:sz w:val="20"/>
              </w:rPr>
              <w:t xml:space="preserve"> zajištění podpory společným projektům výzkumu, vývoje a inovací českých a zahraničních výzkumných organizací a podnikatelů v rámci </w:t>
            </w:r>
            <w:r>
              <w:rPr>
                <w:sz w:val="20"/>
              </w:rPr>
              <w:t>programů mezinárodní spolupráce</w:t>
            </w:r>
          </w:p>
        </w:tc>
        <w:tc>
          <w:tcPr>
            <w:tcW w:w="850" w:type="dxa"/>
          </w:tcPr>
          <w:p w:rsidR="009835E1" w:rsidRPr="008B466F" w:rsidRDefault="009835E1" w:rsidP="00C954CD">
            <w:pPr>
              <w:overflowPunct/>
              <w:autoSpaceDE/>
              <w:autoSpaceDN/>
              <w:adjustRightInd/>
              <w:spacing w:after="0" w:line="240" w:lineRule="auto"/>
              <w:jc w:val="both"/>
              <w:textAlignment w:val="auto"/>
              <w:rPr>
                <w:sz w:val="20"/>
              </w:rPr>
            </w:pPr>
            <w:r w:rsidRPr="006850CB">
              <w:rPr>
                <w:sz w:val="20"/>
              </w:rPr>
              <w:t xml:space="preserve">MPO </w:t>
            </w:r>
            <w:r>
              <w:rPr>
                <w:sz w:val="20"/>
              </w:rPr>
              <w:t>61000</w:t>
            </w:r>
          </w:p>
        </w:tc>
        <w:tc>
          <w:tcPr>
            <w:tcW w:w="1276" w:type="dxa"/>
          </w:tcPr>
          <w:p w:rsidR="009835E1" w:rsidRPr="003F7A06" w:rsidRDefault="009835E1" w:rsidP="00C954CD">
            <w:pPr>
              <w:overflowPunct/>
              <w:autoSpaceDE/>
              <w:autoSpaceDN/>
              <w:adjustRightInd/>
              <w:spacing w:after="0" w:line="240" w:lineRule="auto"/>
              <w:jc w:val="both"/>
              <w:textAlignment w:val="auto"/>
              <w:rPr>
                <w:sz w:val="20"/>
              </w:rPr>
            </w:pPr>
            <w:r w:rsidRPr="006850CB">
              <w:rPr>
                <w:sz w:val="20"/>
              </w:rPr>
              <w:t>MŠMT</w:t>
            </w:r>
          </w:p>
        </w:tc>
        <w:tc>
          <w:tcPr>
            <w:tcW w:w="1134" w:type="dxa"/>
          </w:tcPr>
          <w:p w:rsidR="009835E1" w:rsidRDefault="009835E1" w:rsidP="00C954CD">
            <w:pPr>
              <w:overflowPunct/>
              <w:autoSpaceDE/>
              <w:autoSpaceDN/>
              <w:adjustRightInd/>
              <w:spacing w:after="0" w:line="240" w:lineRule="auto"/>
              <w:jc w:val="both"/>
              <w:textAlignment w:val="auto"/>
              <w:rPr>
                <w:sz w:val="20"/>
              </w:rPr>
            </w:pPr>
            <w:r w:rsidRPr="006850CB">
              <w:rPr>
                <w:sz w:val="20"/>
              </w:rPr>
              <w:t>Průběžně</w:t>
            </w:r>
          </w:p>
        </w:tc>
        <w:tc>
          <w:tcPr>
            <w:tcW w:w="1276" w:type="dxa"/>
          </w:tcPr>
          <w:p w:rsidR="009835E1" w:rsidRPr="003F7A06" w:rsidRDefault="009835E1" w:rsidP="00C954CD">
            <w:pPr>
              <w:overflowPunct/>
              <w:autoSpaceDE/>
              <w:autoSpaceDN/>
              <w:adjustRightInd/>
              <w:spacing w:after="0" w:line="240" w:lineRule="auto"/>
              <w:jc w:val="both"/>
              <w:textAlignment w:val="auto"/>
              <w:rPr>
                <w:sz w:val="20"/>
              </w:rPr>
            </w:pPr>
            <w:r>
              <w:rPr>
                <w:sz w:val="20"/>
              </w:rPr>
              <w:t>Státní rozpočet (nový nárok)</w:t>
            </w:r>
          </w:p>
        </w:tc>
        <w:tc>
          <w:tcPr>
            <w:tcW w:w="3118" w:type="dxa"/>
          </w:tcPr>
          <w:p w:rsidR="009835E1" w:rsidRDefault="009835E1" w:rsidP="00F54698">
            <w:pPr>
              <w:overflowPunct/>
              <w:autoSpaceDE/>
              <w:autoSpaceDN/>
              <w:adjustRightInd/>
              <w:spacing w:after="0" w:line="240" w:lineRule="auto"/>
              <w:jc w:val="both"/>
              <w:textAlignment w:val="auto"/>
              <w:rPr>
                <w:sz w:val="20"/>
              </w:rPr>
            </w:pPr>
            <w:r w:rsidRPr="001B4A64">
              <w:rPr>
                <w:sz w:val="20"/>
              </w:rPr>
              <w:t xml:space="preserve">Činnost specializovaných organizací a projektů zabývajících se mimo jiné i prezentací výsledků českého </w:t>
            </w:r>
            <w:proofErr w:type="spellStart"/>
            <w:r w:rsidRPr="001B4A64">
              <w:rPr>
                <w:sz w:val="20"/>
              </w:rPr>
              <w:t>VaVaI</w:t>
            </w:r>
            <w:proofErr w:type="spellEnd"/>
            <w:r w:rsidRPr="001B4A64">
              <w:rPr>
                <w:sz w:val="20"/>
              </w:rPr>
              <w:t xml:space="preserve"> v zahraničí (např. CZELO - Česká styčná kancelář pro výzkum a vývoj v Bruselu, nebo projekt Česká hlava).</w:t>
            </w:r>
          </w:p>
        </w:tc>
      </w:tr>
    </w:tbl>
    <w:p w:rsidR="009835E1" w:rsidRDefault="009835E1" w:rsidP="009835E1">
      <w:pPr>
        <w:pStyle w:val="Nadpis2"/>
        <w:ind w:left="792"/>
      </w:pPr>
    </w:p>
    <w:p w:rsidR="009835E1" w:rsidRDefault="009835E1" w:rsidP="009835E1">
      <w:pPr>
        <w:pStyle w:val="Nadpis2"/>
        <w:numPr>
          <w:ilvl w:val="1"/>
          <w:numId w:val="11"/>
        </w:numPr>
      </w:pPr>
      <w:bookmarkStart w:id="5" w:name="_Toc433272199"/>
      <w:r>
        <w:t>Energetické úspory v podnikání</w:t>
      </w:r>
      <w:bookmarkEnd w:id="5"/>
    </w:p>
    <w:p w:rsidR="009835E1" w:rsidRDefault="009835E1" w:rsidP="009835E1"/>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50"/>
        <w:gridCol w:w="1276"/>
        <w:gridCol w:w="1134"/>
        <w:gridCol w:w="1276"/>
        <w:gridCol w:w="3118"/>
      </w:tblGrid>
      <w:tr w:rsidR="009835E1" w:rsidRPr="009C1CB4" w:rsidTr="009835E1">
        <w:tc>
          <w:tcPr>
            <w:tcW w:w="2269" w:type="dxa"/>
            <w:shd w:val="clear" w:color="auto" w:fill="E36C0A"/>
          </w:tcPr>
          <w:p w:rsidR="009835E1" w:rsidRPr="009C1CB4" w:rsidRDefault="009835E1" w:rsidP="009835E1">
            <w:pPr>
              <w:spacing w:after="0"/>
              <w:rPr>
                <w:b/>
                <w:sz w:val="20"/>
              </w:rPr>
            </w:pPr>
            <w:r>
              <w:br w:type="page"/>
            </w:r>
            <w:r>
              <w:rPr>
                <w:b/>
                <w:sz w:val="20"/>
              </w:rPr>
              <w:t>Aktivita/</w:t>
            </w:r>
            <w:r w:rsidRPr="009C1CB4">
              <w:rPr>
                <w:b/>
                <w:sz w:val="20"/>
              </w:rPr>
              <w:t xml:space="preserve"> úkol</w:t>
            </w:r>
          </w:p>
        </w:tc>
        <w:tc>
          <w:tcPr>
            <w:tcW w:w="850" w:type="dxa"/>
            <w:shd w:val="clear" w:color="auto" w:fill="E36C0A"/>
          </w:tcPr>
          <w:p w:rsidR="009835E1" w:rsidRDefault="009835E1" w:rsidP="009835E1">
            <w:pPr>
              <w:spacing w:after="0"/>
              <w:rPr>
                <w:b/>
                <w:sz w:val="20"/>
              </w:rPr>
            </w:pPr>
            <w:r>
              <w:rPr>
                <w:b/>
                <w:sz w:val="20"/>
              </w:rPr>
              <w:t>Gestor</w:t>
            </w:r>
          </w:p>
        </w:tc>
        <w:tc>
          <w:tcPr>
            <w:tcW w:w="1276" w:type="dxa"/>
            <w:shd w:val="clear" w:color="auto" w:fill="E36C0A"/>
          </w:tcPr>
          <w:p w:rsidR="009835E1" w:rsidRPr="009C1CB4" w:rsidRDefault="009835E1" w:rsidP="009835E1">
            <w:pPr>
              <w:spacing w:after="0"/>
              <w:rPr>
                <w:b/>
                <w:sz w:val="20"/>
              </w:rPr>
            </w:pPr>
            <w:proofErr w:type="spellStart"/>
            <w:r>
              <w:rPr>
                <w:b/>
                <w:sz w:val="20"/>
              </w:rPr>
              <w:t>Spolugestor</w:t>
            </w:r>
            <w:proofErr w:type="spellEnd"/>
          </w:p>
        </w:tc>
        <w:tc>
          <w:tcPr>
            <w:tcW w:w="1134" w:type="dxa"/>
            <w:shd w:val="clear" w:color="auto" w:fill="E36C0A"/>
          </w:tcPr>
          <w:p w:rsidR="009835E1" w:rsidRPr="009C1CB4" w:rsidRDefault="009835E1" w:rsidP="009835E1">
            <w:pPr>
              <w:spacing w:after="0"/>
              <w:rPr>
                <w:b/>
                <w:sz w:val="20"/>
              </w:rPr>
            </w:pPr>
            <w:r w:rsidRPr="009C1CB4">
              <w:rPr>
                <w:b/>
                <w:sz w:val="20"/>
              </w:rPr>
              <w:t>Termín</w:t>
            </w:r>
          </w:p>
        </w:tc>
        <w:tc>
          <w:tcPr>
            <w:tcW w:w="1276" w:type="dxa"/>
            <w:shd w:val="clear" w:color="auto" w:fill="E36C0A"/>
          </w:tcPr>
          <w:p w:rsidR="009835E1" w:rsidRPr="009C1CB4" w:rsidRDefault="009835E1" w:rsidP="009835E1">
            <w:pPr>
              <w:spacing w:after="0"/>
              <w:rPr>
                <w:b/>
                <w:sz w:val="20"/>
              </w:rPr>
            </w:pPr>
            <w:r w:rsidRPr="009C1CB4">
              <w:rPr>
                <w:b/>
                <w:sz w:val="20"/>
              </w:rPr>
              <w:t>Financování</w:t>
            </w:r>
          </w:p>
        </w:tc>
        <w:tc>
          <w:tcPr>
            <w:tcW w:w="3118" w:type="dxa"/>
            <w:shd w:val="clear" w:color="auto" w:fill="E36C0A"/>
          </w:tcPr>
          <w:p w:rsidR="009835E1" w:rsidRPr="009C1CB4" w:rsidRDefault="009835E1" w:rsidP="009835E1">
            <w:pPr>
              <w:spacing w:after="0"/>
              <w:rPr>
                <w:b/>
                <w:sz w:val="20"/>
              </w:rPr>
            </w:pPr>
            <w:r>
              <w:rPr>
                <w:b/>
                <w:sz w:val="20"/>
              </w:rPr>
              <w:t>Nástroj realizace opatření</w:t>
            </w:r>
          </w:p>
        </w:tc>
      </w:tr>
      <w:tr w:rsidR="009835E1" w:rsidRPr="00283744" w:rsidTr="009835E1">
        <w:tc>
          <w:tcPr>
            <w:tcW w:w="2269" w:type="dxa"/>
          </w:tcPr>
          <w:p w:rsidR="009835E1" w:rsidRPr="00A35ABD" w:rsidRDefault="009835E1" w:rsidP="009835E1">
            <w:pPr>
              <w:numPr>
                <w:ilvl w:val="0"/>
                <w:numId w:val="10"/>
              </w:numPr>
              <w:overflowPunct/>
              <w:autoSpaceDE/>
              <w:autoSpaceDN/>
              <w:adjustRightInd/>
              <w:spacing w:after="0" w:line="240" w:lineRule="auto"/>
              <w:textAlignment w:val="auto"/>
              <w:rPr>
                <w:sz w:val="20"/>
              </w:rPr>
            </w:pPr>
            <w:r>
              <w:rPr>
                <w:sz w:val="20"/>
              </w:rPr>
              <w:t>P</w:t>
            </w:r>
            <w:r w:rsidRPr="009F17D2">
              <w:rPr>
                <w:sz w:val="20"/>
              </w:rPr>
              <w:t>odpo</w:t>
            </w:r>
            <w:r>
              <w:rPr>
                <w:sz w:val="20"/>
              </w:rPr>
              <w:t>ra</w:t>
            </w:r>
            <w:r w:rsidRPr="009F17D2">
              <w:rPr>
                <w:sz w:val="20"/>
              </w:rPr>
              <w:t xml:space="preserve"> výroby a distribuce energie pocházející z obnovitelných zdrojů </w:t>
            </w:r>
          </w:p>
        </w:tc>
        <w:tc>
          <w:tcPr>
            <w:tcW w:w="850" w:type="dxa"/>
          </w:tcPr>
          <w:p w:rsidR="009835E1" w:rsidRPr="00CC2604" w:rsidRDefault="009835E1" w:rsidP="00C954CD">
            <w:pPr>
              <w:overflowPunct/>
              <w:autoSpaceDE/>
              <w:autoSpaceDN/>
              <w:adjustRightInd/>
              <w:spacing w:after="0" w:line="240" w:lineRule="auto"/>
              <w:jc w:val="both"/>
              <w:textAlignment w:val="auto"/>
              <w:rPr>
                <w:sz w:val="20"/>
              </w:rPr>
            </w:pPr>
            <w:r>
              <w:rPr>
                <w:sz w:val="20"/>
              </w:rPr>
              <w:t>MPO 61000</w:t>
            </w:r>
          </w:p>
        </w:tc>
        <w:tc>
          <w:tcPr>
            <w:tcW w:w="1276" w:type="dxa"/>
          </w:tcPr>
          <w:p w:rsidR="009835E1" w:rsidRDefault="009835E1" w:rsidP="00C954CD">
            <w:pPr>
              <w:overflowPunct/>
              <w:autoSpaceDE/>
              <w:autoSpaceDN/>
              <w:adjustRightInd/>
              <w:spacing w:after="0" w:line="240" w:lineRule="auto"/>
              <w:textAlignment w:val="auto"/>
              <w:rPr>
                <w:sz w:val="20"/>
              </w:rPr>
            </w:pPr>
            <w:r w:rsidRPr="00CC2604">
              <w:rPr>
                <w:sz w:val="20"/>
              </w:rPr>
              <w:t xml:space="preserve">MPO 32000, </w:t>
            </w:r>
            <w:proofErr w:type="spellStart"/>
            <w:r w:rsidRPr="00010B84">
              <w:rPr>
                <w:sz w:val="20"/>
              </w:rPr>
              <w:t>CzechInvest</w:t>
            </w:r>
            <w:proofErr w:type="spellEnd"/>
            <w:r w:rsidRPr="00010B84">
              <w:rPr>
                <w:sz w:val="20"/>
              </w:rPr>
              <w:t xml:space="preserve"> (příp. API)</w:t>
            </w:r>
          </w:p>
        </w:tc>
        <w:tc>
          <w:tcPr>
            <w:tcW w:w="1134" w:type="dxa"/>
          </w:tcPr>
          <w:p w:rsidR="009835E1" w:rsidRDefault="009835E1" w:rsidP="00C954CD">
            <w:pPr>
              <w:overflowPunct/>
              <w:autoSpaceDE/>
              <w:autoSpaceDN/>
              <w:adjustRightInd/>
              <w:spacing w:after="0" w:line="240" w:lineRule="auto"/>
              <w:jc w:val="both"/>
              <w:textAlignment w:val="auto"/>
              <w:rPr>
                <w:sz w:val="20"/>
              </w:rPr>
            </w:pPr>
            <w:r w:rsidRPr="00CC2604">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CC2604">
              <w:rPr>
                <w:sz w:val="20"/>
              </w:rPr>
              <w:t>PO3 OP</w:t>
            </w:r>
            <w:r>
              <w:rPr>
                <w:sz w:val="20"/>
              </w:rPr>
              <w:t xml:space="preserve"> </w:t>
            </w:r>
            <w:r w:rsidRPr="00CC2604">
              <w:rPr>
                <w:sz w:val="20"/>
              </w:rPr>
              <w:t>PIK</w:t>
            </w:r>
          </w:p>
        </w:tc>
        <w:tc>
          <w:tcPr>
            <w:tcW w:w="3118" w:type="dxa"/>
          </w:tcPr>
          <w:p w:rsidR="009835E1" w:rsidRPr="00F54698" w:rsidRDefault="009835E1" w:rsidP="00F54698">
            <w:pPr>
              <w:overflowPunct/>
              <w:autoSpaceDE/>
              <w:autoSpaceDN/>
              <w:adjustRightInd/>
              <w:spacing w:after="0" w:line="240" w:lineRule="auto"/>
              <w:jc w:val="both"/>
              <w:textAlignment w:val="auto"/>
              <w:rPr>
                <w:sz w:val="20"/>
              </w:rPr>
            </w:pPr>
            <w:r w:rsidRPr="00CC2604">
              <w:rPr>
                <w:sz w:val="20"/>
              </w:rPr>
              <w:t>O</w:t>
            </w:r>
            <w:r>
              <w:rPr>
                <w:sz w:val="20"/>
              </w:rPr>
              <w:t>bnovitelné zdroje energie</w:t>
            </w:r>
            <w:r w:rsidRPr="00CC2604">
              <w:rPr>
                <w:sz w:val="20"/>
              </w:rPr>
              <w:t xml:space="preserve"> - </w:t>
            </w:r>
            <w:r>
              <w:rPr>
                <w:sz w:val="20"/>
              </w:rPr>
              <w:t>V</w:t>
            </w:r>
            <w:r w:rsidRPr="009F17D2">
              <w:rPr>
                <w:sz w:val="20"/>
              </w:rPr>
              <w:t>ýstavba nových a rekonstrukce a modernizace stávajících výroben elektřiny a tepla z OZE s tím, že vyrobená energie bude určena primárně pro distribuci, nikoli vlastní spotřebu</w:t>
            </w:r>
            <w:r>
              <w:rPr>
                <w:sz w:val="20"/>
              </w:rPr>
              <w:t>.</w:t>
            </w:r>
          </w:p>
        </w:tc>
      </w:tr>
      <w:tr w:rsidR="009835E1" w:rsidRPr="00283744" w:rsidTr="009835E1">
        <w:tc>
          <w:tcPr>
            <w:tcW w:w="2269" w:type="dxa"/>
            <w:shd w:val="clear" w:color="auto" w:fill="auto"/>
          </w:tcPr>
          <w:p w:rsidR="009835E1" w:rsidRPr="0032299A"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32299A">
              <w:rPr>
                <w:sz w:val="20"/>
              </w:rPr>
              <w:t>Podpora výzku</w:t>
            </w:r>
            <w:r>
              <w:rPr>
                <w:sz w:val="20"/>
              </w:rPr>
              <w:t>mu, vývoje a projektů v MSP</w:t>
            </w:r>
            <w:r w:rsidRPr="0032299A">
              <w:rPr>
                <w:sz w:val="20"/>
              </w:rPr>
              <w:t xml:space="preserve"> v oblasti čisté mobility a využití alternativních paliv v dopravě</w:t>
            </w:r>
          </w:p>
        </w:tc>
        <w:tc>
          <w:tcPr>
            <w:tcW w:w="850" w:type="dxa"/>
          </w:tcPr>
          <w:p w:rsidR="009835E1" w:rsidRPr="0032299A" w:rsidRDefault="009835E1" w:rsidP="00C954CD">
            <w:pPr>
              <w:overflowPunct/>
              <w:autoSpaceDE/>
              <w:autoSpaceDN/>
              <w:adjustRightInd/>
              <w:spacing w:after="0" w:line="240" w:lineRule="auto"/>
              <w:jc w:val="both"/>
              <w:textAlignment w:val="auto"/>
              <w:rPr>
                <w:sz w:val="20"/>
              </w:rPr>
            </w:pPr>
            <w:r w:rsidRPr="0032299A">
              <w:rPr>
                <w:sz w:val="20"/>
              </w:rPr>
              <w:t xml:space="preserve">MPO </w:t>
            </w:r>
            <w:r>
              <w:rPr>
                <w:sz w:val="20"/>
              </w:rPr>
              <w:t>31000</w:t>
            </w:r>
          </w:p>
        </w:tc>
        <w:tc>
          <w:tcPr>
            <w:tcW w:w="1276" w:type="dxa"/>
          </w:tcPr>
          <w:p w:rsidR="009835E1" w:rsidRPr="0032299A" w:rsidRDefault="009835E1" w:rsidP="00C954CD">
            <w:pPr>
              <w:overflowPunct/>
              <w:autoSpaceDE/>
              <w:autoSpaceDN/>
              <w:adjustRightInd/>
              <w:spacing w:after="0" w:line="240" w:lineRule="auto"/>
              <w:textAlignment w:val="auto"/>
              <w:rPr>
                <w:sz w:val="20"/>
              </w:rPr>
            </w:pPr>
            <w:r w:rsidRPr="0032299A">
              <w:rPr>
                <w:sz w:val="20"/>
              </w:rPr>
              <w:t>MD, MŽP, MF, MMR</w:t>
            </w:r>
          </w:p>
        </w:tc>
        <w:tc>
          <w:tcPr>
            <w:tcW w:w="1134" w:type="dxa"/>
          </w:tcPr>
          <w:p w:rsidR="009835E1" w:rsidRPr="0032299A" w:rsidRDefault="009835E1" w:rsidP="00C954CD">
            <w:pPr>
              <w:overflowPunct/>
              <w:autoSpaceDE/>
              <w:autoSpaceDN/>
              <w:adjustRightInd/>
              <w:spacing w:after="0" w:line="240" w:lineRule="auto"/>
              <w:jc w:val="both"/>
              <w:textAlignment w:val="auto"/>
              <w:rPr>
                <w:sz w:val="20"/>
              </w:rPr>
            </w:pPr>
            <w:r w:rsidRPr="0032299A">
              <w:rPr>
                <w:sz w:val="20"/>
              </w:rPr>
              <w:t>Průběžně</w:t>
            </w:r>
          </w:p>
        </w:tc>
        <w:tc>
          <w:tcPr>
            <w:tcW w:w="1276" w:type="dxa"/>
          </w:tcPr>
          <w:p w:rsidR="009835E1" w:rsidRPr="0032299A" w:rsidRDefault="009835E1" w:rsidP="00C954CD">
            <w:pPr>
              <w:overflowPunct/>
              <w:autoSpaceDE/>
              <w:autoSpaceDN/>
              <w:adjustRightInd/>
              <w:spacing w:after="0" w:line="240" w:lineRule="auto"/>
              <w:jc w:val="both"/>
              <w:textAlignment w:val="auto"/>
              <w:rPr>
                <w:sz w:val="20"/>
              </w:rPr>
            </w:pPr>
          </w:p>
        </w:tc>
        <w:tc>
          <w:tcPr>
            <w:tcW w:w="3118" w:type="dxa"/>
          </w:tcPr>
          <w:p w:rsidR="009835E1" w:rsidRPr="0032299A" w:rsidRDefault="009835E1" w:rsidP="00F54698">
            <w:pPr>
              <w:overflowPunct/>
              <w:autoSpaceDE/>
              <w:autoSpaceDN/>
              <w:adjustRightInd/>
              <w:spacing w:after="0" w:line="240" w:lineRule="auto"/>
              <w:jc w:val="both"/>
              <w:textAlignment w:val="auto"/>
              <w:rPr>
                <w:sz w:val="20"/>
              </w:rPr>
            </w:pPr>
            <w:r w:rsidRPr="0032299A">
              <w:rPr>
                <w:sz w:val="20"/>
              </w:rPr>
              <w:t>Národní akční plán čisté mobility (NAP CM) jako jeden z</w:t>
            </w:r>
            <w:r w:rsidRPr="00F54698">
              <w:rPr>
                <w:sz w:val="20"/>
              </w:rPr>
              <w:t xml:space="preserve"> </w:t>
            </w:r>
            <w:r w:rsidRPr="0032299A">
              <w:rPr>
                <w:sz w:val="20"/>
              </w:rPr>
              <w:t>nelegislativních úkolů MPO,</w:t>
            </w:r>
            <w:r>
              <w:rPr>
                <w:sz w:val="20"/>
              </w:rPr>
              <w:t xml:space="preserve"> </w:t>
            </w:r>
            <w:r w:rsidRPr="0032299A">
              <w:rPr>
                <w:sz w:val="20"/>
              </w:rPr>
              <w:t>vyplývajících z aktualizace Státní energetické koncepce.</w:t>
            </w:r>
          </w:p>
          <w:p w:rsidR="009835E1" w:rsidRPr="0032299A" w:rsidRDefault="009835E1" w:rsidP="00F54698">
            <w:pPr>
              <w:overflowPunct/>
              <w:autoSpaceDE/>
              <w:autoSpaceDN/>
              <w:adjustRightInd/>
              <w:spacing w:after="0" w:line="240" w:lineRule="auto"/>
              <w:jc w:val="both"/>
              <w:textAlignment w:val="auto"/>
              <w:rPr>
                <w:sz w:val="20"/>
              </w:rPr>
            </w:pPr>
            <w:r w:rsidRPr="0032299A">
              <w:rPr>
                <w:sz w:val="20"/>
              </w:rPr>
              <w:t xml:space="preserve">Národní akční plán čisté mobility   - je zaměřen na využití alternativních druhů paliv, lepší kvalitu ovzduší, snížení emisí znečišťujících látek a skleníkových plynů vznikajících z dopravy. Přijatý program má být také zaměřen na závazky vyplývající z Plánu jednotného evropského dopravního prostoru. </w:t>
            </w:r>
          </w:p>
        </w:tc>
      </w:tr>
      <w:tr w:rsidR="009835E1" w:rsidRPr="00283744" w:rsidTr="009835E1">
        <w:tc>
          <w:tcPr>
            <w:tcW w:w="2269" w:type="dxa"/>
            <w:shd w:val="clear" w:color="auto" w:fill="auto"/>
          </w:tcPr>
          <w:p w:rsidR="009835E1" w:rsidRPr="006850CB"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9D30BE">
              <w:rPr>
                <w:sz w:val="20"/>
              </w:rPr>
              <w:t>Příprava a vyhlá</w:t>
            </w:r>
            <w:r>
              <w:rPr>
                <w:sz w:val="20"/>
              </w:rPr>
              <w:t xml:space="preserve">šení výzev programů podpory </w:t>
            </w:r>
            <w:r w:rsidRPr="009D30BE">
              <w:rPr>
                <w:sz w:val="20"/>
              </w:rPr>
              <w:t>směřujících</w:t>
            </w:r>
            <w:r>
              <w:rPr>
                <w:sz w:val="20"/>
              </w:rPr>
              <w:t xml:space="preserve"> ke</w:t>
            </w:r>
            <w:r w:rsidRPr="002A001A">
              <w:rPr>
                <w:sz w:val="20"/>
              </w:rPr>
              <w:t xml:space="preserve"> zlepšení kvality, spolehlivosti, bezpečnosti a udržitelnosti dodávek elektřiny konečným zákazníkům</w:t>
            </w:r>
          </w:p>
        </w:tc>
        <w:tc>
          <w:tcPr>
            <w:tcW w:w="850" w:type="dxa"/>
          </w:tcPr>
          <w:p w:rsidR="009835E1" w:rsidRPr="00CC2604" w:rsidRDefault="009835E1" w:rsidP="00C954CD">
            <w:pPr>
              <w:overflowPunct/>
              <w:autoSpaceDE/>
              <w:autoSpaceDN/>
              <w:adjustRightInd/>
              <w:spacing w:after="0" w:line="240" w:lineRule="auto"/>
              <w:jc w:val="both"/>
              <w:textAlignment w:val="auto"/>
              <w:rPr>
                <w:sz w:val="20"/>
              </w:rPr>
            </w:pPr>
            <w:r>
              <w:rPr>
                <w:sz w:val="20"/>
              </w:rPr>
              <w:t>MPO 61000</w:t>
            </w:r>
          </w:p>
        </w:tc>
        <w:tc>
          <w:tcPr>
            <w:tcW w:w="1276" w:type="dxa"/>
          </w:tcPr>
          <w:p w:rsidR="009835E1" w:rsidRDefault="009835E1" w:rsidP="00C954CD">
            <w:pPr>
              <w:overflowPunct/>
              <w:autoSpaceDE/>
              <w:autoSpaceDN/>
              <w:adjustRightInd/>
              <w:spacing w:after="0" w:line="240" w:lineRule="auto"/>
              <w:textAlignment w:val="auto"/>
              <w:rPr>
                <w:sz w:val="20"/>
              </w:rPr>
            </w:pPr>
            <w:r w:rsidRPr="00CC2604">
              <w:rPr>
                <w:sz w:val="20"/>
              </w:rPr>
              <w:t xml:space="preserve">MPO 32000, </w:t>
            </w:r>
            <w:proofErr w:type="spellStart"/>
            <w:r w:rsidRPr="00010B84">
              <w:rPr>
                <w:sz w:val="20"/>
              </w:rPr>
              <w:t>CzechInvest</w:t>
            </w:r>
            <w:proofErr w:type="spellEnd"/>
            <w:r w:rsidRPr="00010B84">
              <w:rPr>
                <w:sz w:val="20"/>
              </w:rPr>
              <w:t xml:space="preserve"> (příp. API)</w:t>
            </w:r>
          </w:p>
        </w:tc>
        <w:tc>
          <w:tcPr>
            <w:tcW w:w="1134" w:type="dxa"/>
          </w:tcPr>
          <w:p w:rsidR="009835E1" w:rsidRDefault="009835E1" w:rsidP="00C954CD">
            <w:pPr>
              <w:overflowPunct/>
              <w:autoSpaceDE/>
              <w:autoSpaceDN/>
              <w:adjustRightInd/>
              <w:spacing w:after="0" w:line="240" w:lineRule="auto"/>
              <w:jc w:val="both"/>
              <w:textAlignment w:val="auto"/>
              <w:rPr>
                <w:sz w:val="20"/>
              </w:rPr>
            </w:pPr>
            <w:r w:rsidRPr="00CC2604">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CC2604">
              <w:rPr>
                <w:sz w:val="20"/>
              </w:rPr>
              <w:t>PO3 OP</w:t>
            </w:r>
            <w:r>
              <w:rPr>
                <w:sz w:val="20"/>
              </w:rPr>
              <w:t xml:space="preserve"> </w:t>
            </w:r>
            <w:r w:rsidRPr="00CC2604">
              <w:rPr>
                <w:sz w:val="20"/>
              </w:rPr>
              <w:t>PIK</w:t>
            </w:r>
          </w:p>
        </w:tc>
        <w:tc>
          <w:tcPr>
            <w:tcW w:w="3118" w:type="dxa"/>
          </w:tcPr>
          <w:p w:rsidR="009835E1" w:rsidRPr="009D30BE" w:rsidRDefault="009835E1" w:rsidP="00F54698">
            <w:pPr>
              <w:overflowPunct/>
              <w:autoSpaceDE/>
              <w:autoSpaceDN/>
              <w:adjustRightInd/>
              <w:spacing w:after="0" w:line="240" w:lineRule="auto"/>
              <w:jc w:val="both"/>
              <w:textAlignment w:val="auto"/>
              <w:rPr>
                <w:sz w:val="20"/>
              </w:rPr>
            </w:pPr>
            <w:r>
              <w:rPr>
                <w:sz w:val="20"/>
              </w:rPr>
              <w:t>Vyhlášení výzvy</w:t>
            </w:r>
            <w:r w:rsidRPr="009D30BE">
              <w:rPr>
                <w:sz w:val="20"/>
              </w:rPr>
              <w:t xml:space="preserve"> </w:t>
            </w:r>
            <w:r>
              <w:rPr>
                <w:sz w:val="20"/>
              </w:rPr>
              <w:t>p</w:t>
            </w:r>
            <w:r w:rsidRPr="009D30BE">
              <w:rPr>
                <w:sz w:val="20"/>
              </w:rPr>
              <w:t>rogram</w:t>
            </w:r>
            <w:r>
              <w:rPr>
                <w:sz w:val="20"/>
              </w:rPr>
              <w:t>u</w:t>
            </w:r>
            <w:r w:rsidRPr="009D30BE">
              <w:rPr>
                <w:sz w:val="20"/>
              </w:rPr>
              <w:t xml:space="preserve"> </w:t>
            </w:r>
            <w:proofErr w:type="spellStart"/>
            <w:r w:rsidRPr="009D30BE">
              <w:rPr>
                <w:sz w:val="20"/>
              </w:rPr>
              <w:t>Smart</w:t>
            </w:r>
            <w:proofErr w:type="spellEnd"/>
            <w:r w:rsidRPr="009D30BE">
              <w:rPr>
                <w:sz w:val="20"/>
              </w:rPr>
              <w:t xml:space="preserve"> </w:t>
            </w:r>
            <w:proofErr w:type="spellStart"/>
            <w:r w:rsidRPr="009D30BE">
              <w:rPr>
                <w:sz w:val="20"/>
              </w:rPr>
              <w:t>grids</w:t>
            </w:r>
            <w:proofErr w:type="spellEnd"/>
            <w:r w:rsidRPr="009D30BE">
              <w:rPr>
                <w:sz w:val="20"/>
              </w:rPr>
              <w:t xml:space="preserve"> I </w:t>
            </w:r>
            <w:r w:rsidRPr="009F17D2">
              <w:rPr>
                <w:sz w:val="20"/>
              </w:rPr>
              <w:t xml:space="preserve">(distribuční sítě) </w:t>
            </w:r>
            <w:r w:rsidRPr="009D30BE">
              <w:rPr>
                <w:sz w:val="20"/>
              </w:rPr>
              <w:t xml:space="preserve">- </w:t>
            </w:r>
            <w:r>
              <w:rPr>
                <w:sz w:val="20"/>
              </w:rPr>
              <w:t>Podpora</w:t>
            </w:r>
            <w:r w:rsidRPr="002A001A">
              <w:rPr>
                <w:sz w:val="20"/>
              </w:rPr>
              <w:t xml:space="preserve"> na nasazení automatizovaných dálkově ovládaných prvků v distribučních soustavách nebo na nasazení technologických prvků řízení napětí a výběrové osazení měření kvality elektrické energie v distribučních soustavách.</w:t>
            </w:r>
          </w:p>
          <w:p w:rsidR="009835E1" w:rsidRPr="0032299A" w:rsidRDefault="009835E1" w:rsidP="00F54698">
            <w:pPr>
              <w:overflowPunct/>
              <w:autoSpaceDE/>
              <w:autoSpaceDN/>
              <w:adjustRightInd/>
              <w:spacing w:after="0" w:line="240" w:lineRule="auto"/>
              <w:jc w:val="both"/>
              <w:textAlignment w:val="auto"/>
              <w:rPr>
                <w:sz w:val="20"/>
              </w:rPr>
            </w:pPr>
            <w:r w:rsidRPr="0032299A">
              <w:rPr>
                <w:sz w:val="20"/>
              </w:rPr>
              <w:t xml:space="preserve">Program </w:t>
            </w:r>
            <w:proofErr w:type="spellStart"/>
            <w:r w:rsidRPr="009D30BE">
              <w:rPr>
                <w:sz w:val="20"/>
              </w:rPr>
              <w:t>Smart</w:t>
            </w:r>
            <w:proofErr w:type="spellEnd"/>
            <w:r w:rsidRPr="009D30BE">
              <w:rPr>
                <w:sz w:val="20"/>
              </w:rPr>
              <w:t xml:space="preserve"> </w:t>
            </w:r>
            <w:proofErr w:type="spellStart"/>
            <w:r w:rsidRPr="009D30BE">
              <w:rPr>
                <w:sz w:val="20"/>
              </w:rPr>
              <w:t>grids</w:t>
            </w:r>
            <w:proofErr w:type="spellEnd"/>
            <w:r w:rsidRPr="009D30BE">
              <w:rPr>
                <w:sz w:val="20"/>
              </w:rPr>
              <w:t xml:space="preserve"> II </w:t>
            </w:r>
            <w:r w:rsidRPr="002A001A">
              <w:rPr>
                <w:sz w:val="20"/>
              </w:rPr>
              <w:t xml:space="preserve">(přenosové soustavy) </w:t>
            </w:r>
            <w:r>
              <w:rPr>
                <w:sz w:val="20"/>
              </w:rPr>
              <w:t>– P</w:t>
            </w:r>
            <w:r w:rsidRPr="009D30BE">
              <w:rPr>
                <w:sz w:val="20"/>
              </w:rPr>
              <w:t xml:space="preserve">odpora výstavby, posílení, modernizace a </w:t>
            </w:r>
            <w:r w:rsidRPr="009D30BE">
              <w:rPr>
                <w:sz w:val="20"/>
              </w:rPr>
              <w:lastRenderedPageBreak/>
              <w:t>rekonstrukce vedení přenosové soustavy a transformoven (v soul</w:t>
            </w:r>
            <w:r>
              <w:rPr>
                <w:sz w:val="20"/>
              </w:rPr>
              <w:t>adu s konceptem chytrých sítí).</w:t>
            </w:r>
          </w:p>
        </w:tc>
      </w:tr>
      <w:tr w:rsidR="009835E1" w:rsidRPr="00283744" w:rsidTr="009835E1">
        <w:tc>
          <w:tcPr>
            <w:tcW w:w="2269" w:type="dxa"/>
          </w:tcPr>
          <w:p w:rsidR="009835E1" w:rsidRPr="0094341A"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sidRPr="006850CB">
              <w:rPr>
                <w:sz w:val="20"/>
              </w:rPr>
              <w:lastRenderedPageBreak/>
              <w:t>Podpora snižování energet</w:t>
            </w:r>
            <w:r>
              <w:rPr>
                <w:sz w:val="20"/>
              </w:rPr>
              <w:t>ické náročnosti budov u MSP</w:t>
            </w:r>
          </w:p>
        </w:tc>
        <w:tc>
          <w:tcPr>
            <w:tcW w:w="850" w:type="dxa"/>
          </w:tcPr>
          <w:p w:rsidR="009835E1" w:rsidRPr="00C954CD" w:rsidRDefault="009835E1" w:rsidP="00C954CD">
            <w:pPr>
              <w:overflowPunct/>
              <w:autoSpaceDE/>
              <w:autoSpaceDN/>
              <w:adjustRightInd/>
              <w:spacing w:after="0" w:line="240" w:lineRule="auto"/>
              <w:jc w:val="both"/>
              <w:textAlignment w:val="auto"/>
              <w:rPr>
                <w:sz w:val="20"/>
              </w:rPr>
            </w:pPr>
            <w:r w:rsidRPr="006850CB">
              <w:rPr>
                <w:sz w:val="20"/>
              </w:rPr>
              <w:t>MPO 32000</w:t>
            </w:r>
          </w:p>
        </w:tc>
        <w:tc>
          <w:tcPr>
            <w:tcW w:w="1276" w:type="dxa"/>
          </w:tcPr>
          <w:p w:rsidR="009835E1" w:rsidRDefault="009835E1" w:rsidP="00C954CD">
            <w:pPr>
              <w:overflowPunct/>
              <w:autoSpaceDE/>
              <w:autoSpaceDN/>
              <w:adjustRightInd/>
              <w:spacing w:after="0" w:line="240" w:lineRule="auto"/>
              <w:textAlignment w:val="auto"/>
              <w:rPr>
                <w:sz w:val="20"/>
              </w:rPr>
            </w:pPr>
            <w:r>
              <w:rPr>
                <w:sz w:val="20"/>
              </w:rPr>
              <w:t>MPO 610</w:t>
            </w:r>
            <w:r w:rsidRPr="00246299">
              <w:rPr>
                <w:sz w:val="20"/>
              </w:rPr>
              <w:t>00</w:t>
            </w:r>
            <w:r>
              <w:rPr>
                <w:sz w:val="20"/>
              </w:rPr>
              <w:t xml:space="preserve">, </w:t>
            </w:r>
            <w:proofErr w:type="spellStart"/>
            <w:r w:rsidRPr="003C7B36">
              <w:rPr>
                <w:sz w:val="20"/>
              </w:rPr>
              <w:t>CzechInvest</w:t>
            </w:r>
            <w:proofErr w:type="spellEnd"/>
            <w:r w:rsidRPr="003C7B36">
              <w:rPr>
                <w:sz w:val="20"/>
              </w:rPr>
              <w:t xml:space="preserve"> (příp. API)</w:t>
            </w:r>
          </w:p>
        </w:tc>
        <w:tc>
          <w:tcPr>
            <w:tcW w:w="1134" w:type="dxa"/>
          </w:tcPr>
          <w:p w:rsidR="009835E1" w:rsidRPr="006D7463" w:rsidRDefault="009835E1" w:rsidP="00C954CD">
            <w:pPr>
              <w:overflowPunct/>
              <w:autoSpaceDE/>
              <w:autoSpaceDN/>
              <w:adjustRightInd/>
              <w:spacing w:after="0" w:line="240" w:lineRule="auto"/>
              <w:jc w:val="both"/>
              <w:textAlignment w:val="auto"/>
              <w:rPr>
                <w:sz w:val="20"/>
              </w:rPr>
            </w:pPr>
            <w:r w:rsidRPr="006D7463">
              <w:rPr>
                <w:sz w:val="20"/>
              </w:rPr>
              <w:t>Dle harmonogramu přípravy OP PIK</w:t>
            </w:r>
          </w:p>
        </w:tc>
        <w:tc>
          <w:tcPr>
            <w:tcW w:w="1276" w:type="dxa"/>
          </w:tcPr>
          <w:p w:rsidR="009835E1" w:rsidRDefault="009835E1" w:rsidP="00C954CD">
            <w:pPr>
              <w:overflowPunct/>
              <w:autoSpaceDE/>
              <w:autoSpaceDN/>
              <w:adjustRightInd/>
              <w:spacing w:after="0" w:line="240" w:lineRule="auto"/>
              <w:textAlignment w:val="auto"/>
              <w:rPr>
                <w:sz w:val="20"/>
              </w:rPr>
            </w:pPr>
            <w:r w:rsidRPr="006D7463">
              <w:rPr>
                <w:sz w:val="20"/>
              </w:rPr>
              <w:t>PO3 OP PIK</w:t>
            </w:r>
            <w:r>
              <w:rPr>
                <w:sz w:val="20"/>
              </w:rPr>
              <w:t>,</w:t>
            </w:r>
          </w:p>
          <w:p w:rsidR="009835E1" w:rsidRPr="006D7463" w:rsidRDefault="00C954CD" w:rsidP="00C954CD">
            <w:pPr>
              <w:overflowPunct/>
              <w:autoSpaceDE/>
              <w:autoSpaceDN/>
              <w:adjustRightInd/>
              <w:spacing w:after="0" w:line="240" w:lineRule="auto"/>
              <w:textAlignment w:val="auto"/>
              <w:rPr>
                <w:sz w:val="20"/>
              </w:rPr>
            </w:pPr>
            <w:r>
              <w:rPr>
                <w:sz w:val="20"/>
              </w:rPr>
              <w:t>r</w:t>
            </w:r>
            <w:r w:rsidR="009835E1">
              <w:rPr>
                <w:sz w:val="20"/>
              </w:rPr>
              <w:t>ozpočet MPO</w:t>
            </w:r>
          </w:p>
        </w:tc>
        <w:tc>
          <w:tcPr>
            <w:tcW w:w="3118" w:type="dxa"/>
          </w:tcPr>
          <w:p w:rsidR="009835E1" w:rsidRDefault="009835E1" w:rsidP="00F54698">
            <w:pPr>
              <w:overflowPunct/>
              <w:autoSpaceDE/>
              <w:autoSpaceDN/>
              <w:adjustRightInd/>
              <w:spacing w:after="0" w:line="240" w:lineRule="auto"/>
              <w:jc w:val="both"/>
              <w:textAlignment w:val="auto"/>
              <w:rPr>
                <w:sz w:val="20"/>
              </w:rPr>
            </w:pPr>
            <w:r>
              <w:rPr>
                <w:sz w:val="20"/>
              </w:rPr>
              <w:t>Vyhlášení výzvy programu Úspory energie - P</w:t>
            </w:r>
            <w:r w:rsidRPr="006D7463">
              <w:rPr>
                <w:sz w:val="20"/>
              </w:rPr>
              <w:t>odpor</w:t>
            </w:r>
            <w:r>
              <w:rPr>
                <w:sz w:val="20"/>
              </w:rPr>
              <w:t>a</w:t>
            </w:r>
            <w:r w:rsidRPr="006D7463">
              <w:rPr>
                <w:sz w:val="20"/>
              </w:rPr>
              <w:t xml:space="preserve"> realizac</w:t>
            </w:r>
            <w:r>
              <w:rPr>
                <w:sz w:val="20"/>
              </w:rPr>
              <w:t>e</w:t>
            </w:r>
            <w:r w:rsidRPr="006D7463">
              <w:rPr>
                <w:sz w:val="20"/>
              </w:rPr>
              <w:t xml:space="preserve"> opatření k hospodárnému užití energie a snížení zátěže životního prostředí. Dotace směřují konkrétně na úspory energie ve veřejném osvětlení, na rekonstrukce otopné soustavy, na energetický management a metodu EPC, na poradenství EKIS, na vzdělávání, propagaci a na pilotní projekty.</w:t>
            </w:r>
          </w:p>
          <w:p w:rsidR="009835E1" w:rsidRDefault="009835E1" w:rsidP="00F54698">
            <w:pPr>
              <w:overflowPunct/>
              <w:autoSpaceDE/>
              <w:autoSpaceDN/>
              <w:adjustRightInd/>
              <w:spacing w:after="0" w:line="240" w:lineRule="auto"/>
              <w:jc w:val="both"/>
              <w:textAlignment w:val="auto"/>
              <w:rPr>
                <w:sz w:val="20"/>
              </w:rPr>
            </w:pPr>
          </w:p>
          <w:p w:rsidR="009835E1" w:rsidRPr="006D7463" w:rsidRDefault="009835E1" w:rsidP="00F54698">
            <w:pPr>
              <w:overflowPunct/>
              <w:autoSpaceDE/>
              <w:autoSpaceDN/>
              <w:adjustRightInd/>
              <w:spacing w:after="0" w:line="240" w:lineRule="auto"/>
              <w:jc w:val="both"/>
              <w:textAlignment w:val="auto"/>
              <w:rPr>
                <w:sz w:val="20"/>
              </w:rPr>
            </w:pPr>
            <w:r w:rsidRPr="00C525AE">
              <w:rPr>
                <w:sz w:val="20"/>
              </w:rPr>
              <w:t>Státní program na podporu úspor energie a využití obnovitelných zdrojů energie</w:t>
            </w:r>
            <w:r>
              <w:rPr>
                <w:sz w:val="20"/>
              </w:rPr>
              <w:t xml:space="preserve"> </w:t>
            </w:r>
            <w:r w:rsidRPr="00F54698">
              <w:rPr>
                <w:sz w:val="20"/>
              </w:rPr>
              <w:t>EFEKT 2016 - Dotace na provoz energetických a konzultačních informačních středisek, tzv. EKIS.</w:t>
            </w:r>
          </w:p>
        </w:tc>
      </w:tr>
      <w:tr w:rsidR="009835E1" w:rsidRPr="00283744" w:rsidTr="009835E1">
        <w:tc>
          <w:tcPr>
            <w:tcW w:w="2269" w:type="dxa"/>
          </w:tcPr>
          <w:p w:rsidR="009835E1" w:rsidRPr="006850CB" w:rsidRDefault="009835E1" w:rsidP="009835E1">
            <w:pPr>
              <w:pStyle w:val="Odstavecseseznamem"/>
              <w:numPr>
                <w:ilvl w:val="0"/>
                <w:numId w:val="10"/>
              </w:numPr>
              <w:overflowPunct/>
              <w:autoSpaceDE/>
              <w:autoSpaceDN/>
              <w:adjustRightInd/>
              <w:spacing w:after="120" w:line="240" w:lineRule="auto"/>
              <w:contextualSpacing w:val="0"/>
              <w:textAlignment w:val="auto"/>
              <w:rPr>
                <w:sz w:val="20"/>
              </w:rPr>
            </w:pPr>
            <w:r>
              <w:rPr>
                <w:sz w:val="20"/>
              </w:rPr>
              <w:t xml:space="preserve">Podpory MSP směřujících </w:t>
            </w:r>
            <w:r w:rsidRPr="00184F40">
              <w:rPr>
                <w:sz w:val="20"/>
              </w:rPr>
              <w:t>k zavádění nových technologií v oblasti nakládá</w:t>
            </w:r>
            <w:r>
              <w:rPr>
                <w:sz w:val="20"/>
              </w:rPr>
              <w:t>ní energií a druhotných surovin</w:t>
            </w:r>
          </w:p>
        </w:tc>
        <w:tc>
          <w:tcPr>
            <w:tcW w:w="850" w:type="dxa"/>
          </w:tcPr>
          <w:p w:rsidR="009835E1" w:rsidRPr="00CC2604" w:rsidRDefault="0021738C" w:rsidP="00C954CD">
            <w:pPr>
              <w:overflowPunct/>
              <w:autoSpaceDE/>
              <w:autoSpaceDN/>
              <w:adjustRightInd/>
              <w:spacing w:after="0" w:line="240" w:lineRule="auto"/>
              <w:jc w:val="both"/>
              <w:textAlignment w:val="auto"/>
              <w:rPr>
                <w:sz w:val="20"/>
              </w:rPr>
            </w:pPr>
            <w:r>
              <w:rPr>
                <w:sz w:val="20"/>
              </w:rPr>
              <w:t>MPO 610</w:t>
            </w:r>
            <w:bookmarkStart w:id="6" w:name="_GoBack"/>
            <w:bookmarkEnd w:id="6"/>
            <w:r w:rsidR="009835E1">
              <w:rPr>
                <w:sz w:val="20"/>
              </w:rPr>
              <w:t>00</w:t>
            </w:r>
          </w:p>
        </w:tc>
        <w:tc>
          <w:tcPr>
            <w:tcW w:w="1276" w:type="dxa"/>
          </w:tcPr>
          <w:p w:rsidR="009835E1" w:rsidRDefault="009835E1" w:rsidP="00C954CD">
            <w:pPr>
              <w:overflowPunct/>
              <w:autoSpaceDE/>
              <w:autoSpaceDN/>
              <w:adjustRightInd/>
              <w:spacing w:after="0" w:line="240" w:lineRule="auto"/>
              <w:jc w:val="both"/>
              <w:textAlignment w:val="auto"/>
              <w:rPr>
                <w:sz w:val="20"/>
              </w:rPr>
            </w:pPr>
            <w:r w:rsidRPr="00CC2604">
              <w:rPr>
                <w:sz w:val="20"/>
              </w:rPr>
              <w:t xml:space="preserve">MPO 32000, </w:t>
            </w:r>
            <w:proofErr w:type="spellStart"/>
            <w:r w:rsidRPr="00010B84">
              <w:rPr>
                <w:sz w:val="20"/>
              </w:rPr>
              <w:t>CzechInvest</w:t>
            </w:r>
            <w:proofErr w:type="spellEnd"/>
            <w:r w:rsidRPr="00010B84">
              <w:rPr>
                <w:sz w:val="20"/>
              </w:rPr>
              <w:t xml:space="preserve"> (příp. API)</w:t>
            </w:r>
          </w:p>
        </w:tc>
        <w:tc>
          <w:tcPr>
            <w:tcW w:w="1134" w:type="dxa"/>
          </w:tcPr>
          <w:p w:rsidR="009835E1" w:rsidRDefault="009835E1" w:rsidP="00C954CD">
            <w:pPr>
              <w:overflowPunct/>
              <w:autoSpaceDE/>
              <w:autoSpaceDN/>
              <w:adjustRightInd/>
              <w:spacing w:after="0" w:line="240" w:lineRule="auto"/>
              <w:jc w:val="both"/>
              <w:textAlignment w:val="auto"/>
              <w:rPr>
                <w:sz w:val="20"/>
              </w:rPr>
            </w:pPr>
            <w:r w:rsidRPr="00CC2604">
              <w:rPr>
                <w:sz w:val="20"/>
              </w:rPr>
              <w:t>Dle harmonogramu přípravy OP PIK</w:t>
            </w:r>
          </w:p>
        </w:tc>
        <w:tc>
          <w:tcPr>
            <w:tcW w:w="1276" w:type="dxa"/>
          </w:tcPr>
          <w:p w:rsidR="009835E1" w:rsidRPr="00C954CD" w:rsidRDefault="009835E1" w:rsidP="00C954CD">
            <w:pPr>
              <w:overflowPunct/>
              <w:autoSpaceDE/>
              <w:autoSpaceDN/>
              <w:adjustRightInd/>
              <w:spacing w:after="0" w:line="240" w:lineRule="auto"/>
              <w:jc w:val="both"/>
              <w:textAlignment w:val="auto"/>
              <w:rPr>
                <w:sz w:val="20"/>
              </w:rPr>
            </w:pPr>
            <w:r w:rsidRPr="00CC2604">
              <w:rPr>
                <w:sz w:val="20"/>
              </w:rPr>
              <w:t>PO3 OP</w:t>
            </w:r>
            <w:r>
              <w:rPr>
                <w:sz w:val="20"/>
              </w:rPr>
              <w:t xml:space="preserve"> </w:t>
            </w:r>
            <w:r w:rsidRPr="00CC2604">
              <w:rPr>
                <w:sz w:val="20"/>
              </w:rPr>
              <w:t>PIK</w:t>
            </w:r>
          </w:p>
        </w:tc>
        <w:tc>
          <w:tcPr>
            <w:tcW w:w="3118" w:type="dxa"/>
          </w:tcPr>
          <w:p w:rsidR="009835E1" w:rsidRPr="006D7463" w:rsidRDefault="009835E1" w:rsidP="00F54698">
            <w:pPr>
              <w:overflowPunct/>
              <w:autoSpaceDE/>
              <w:autoSpaceDN/>
              <w:adjustRightInd/>
              <w:spacing w:after="0" w:line="240" w:lineRule="auto"/>
              <w:jc w:val="both"/>
              <w:textAlignment w:val="auto"/>
              <w:rPr>
                <w:sz w:val="20"/>
              </w:rPr>
            </w:pPr>
            <w:r>
              <w:rPr>
                <w:sz w:val="20"/>
              </w:rPr>
              <w:t xml:space="preserve">Vyhlášení výzvy programu </w:t>
            </w:r>
            <w:r w:rsidRPr="001B4A64">
              <w:rPr>
                <w:sz w:val="20"/>
              </w:rPr>
              <w:t>N</w:t>
            </w:r>
            <w:r>
              <w:rPr>
                <w:sz w:val="20"/>
              </w:rPr>
              <w:t>ízkouhlíkové technologie – Cílem programu</w:t>
            </w:r>
            <w:r w:rsidRPr="009F17D2">
              <w:rPr>
                <w:sz w:val="20"/>
              </w:rPr>
              <w:t xml:space="preserve"> je vyšší míra uplatnění nízkouhlíkových technologií v oblasti nakládání energií a tím zvýšení využívání druhotných surovin.</w:t>
            </w:r>
          </w:p>
        </w:tc>
      </w:tr>
    </w:tbl>
    <w:p w:rsidR="009835E1" w:rsidRDefault="009835E1" w:rsidP="009835E1">
      <w:pPr>
        <w:rPr>
          <w:b/>
          <w:sz w:val="24"/>
          <w:szCs w:val="24"/>
        </w:rPr>
      </w:pPr>
    </w:p>
    <w:p w:rsidR="009835E1" w:rsidRDefault="009835E1" w:rsidP="009835E1">
      <w:pPr>
        <w:rPr>
          <w:b/>
        </w:rPr>
      </w:pPr>
    </w:p>
    <w:p w:rsidR="009835E1" w:rsidRDefault="009835E1" w:rsidP="009835E1">
      <w:pPr>
        <w:rPr>
          <w:b/>
        </w:rPr>
      </w:pPr>
    </w:p>
    <w:p w:rsidR="009835E1" w:rsidRDefault="009835E1" w:rsidP="009835E1">
      <w:pPr>
        <w:rPr>
          <w:b/>
        </w:rPr>
      </w:pPr>
    </w:p>
    <w:p w:rsidR="009835E1" w:rsidRDefault="009835E1" w:rsidP="009835E1">
      <w:pPr>
        <w:rPr>
          <w:b/>
        </w:rPr>
      </w:pPr>
    </w:p>
    <w:p w:rsidR="009835E1" w:rsidRDefault="009835E1" w:rsidP="009835E1">
      <w:pPr>
        <w:rPr>
          <w:b/>
        </w:rPr>
      </w:pPr>
    </w:p>
    <w:p w:rsidR="009835E1" w:rsidRDefault="009835E1" w:rsidP="009835E1">
      <w:pPr>
        <w:rPr>
          <w:b/>
        </w:rPr>
      </w:pPr>
    </w:p>
    <w:p w:rsidR="009835E1" w:rsidRDefault="009835E1" w:rsidP="009835E1">
      <w:pPr>
        <w:rPr>
          <w:b/>
        </w:rPr>
      </w:pPr>
    </w:p>
    <w:p w:rsidR="009835E1" w:rsidRDefault="009835E1" w:rsidP="009835E1">
      <w:pPr>
        <w:rPr>
          <w:b/>
        </w:rPr>
      </w:pPr>
    </w:p>
    <w:p w:rsidR="009835E1" w:rsidRDefault="009835E1" w:rsidP="009835E1">
      <w:pPr>
        <w:rPr>
          <w:b/>
        </w:rPr>
      </w:pPr>
    </w:p>
    <w:p w:rsidR="00B5246C" w:rsidRDefault="00B5246C" w:rsidP="001969B1">
      <w:pPr>
        <w:rPr>
          <w:b/>
        </w:rPr>
      </w:pPr>
    </w:p>
    <w:p w:rsidR="009F1F1F" w:rsidRDefault="009F1F1F" w:rsidP="001969B1">
      <w:pPr>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145"/>
      </w:tblGrid>
      <w:tr w:rsidR="00B5246C" w:rsidRPr="0019711C" w:rsidTr="009835E1">
        <w:trPr>
          <w:trHeight w:val="340"/>
        </w:trPr>
        <w:tc>
          <w:tcPr>
            <w:tcW w:w="1927" w:type="dxa"/>
            <w:vAlign w:val="center"/>
          </w:tcPr>
          <w:p w:rsidR="00B5246C" w:rsidRPr="00237E1E" w:rsidRDefault="00B5246C" w:rsidP="00911F25">
            <w:pPr>
              <w:overflowPunct/>
              <w:autoSpaceDE/>
              <w:autoSpaceDN/>
              <w:adjustRightInd/>
              <w:spacing w:after="0" w:line="240" w:lineRule="auto"/>
              <w:textAlignment w:val="auto"/>
              <w:rPr>
                <w:rFonts w:cstheme="minorHAnsi"/>
                <w:sz w:val="20"/>
              </w:rPr>
            </w:pPr>
          </w:p>
        </w:tc>
        <w:tc>
          <w:tcPr>
            <w:tcW w:w="7145" w:type="dxa"/>
            <w:vAlign w:val="center"/>
          </w:tcPr>
          <w:p w:rsidR="00B5246C" w:rsidRPr="00237E1E" w:rsidRDefault="00B5246C" w:rsidP="00B5246C">
            <w:pPr>
              <w:spacing w:after="0"/>
              <w:rPr>
                <w:rFonts w:cstheme="minorHAnsi"/>
                <w:sz w:val="20"/>
              </w:rPr>
            </w:pPr>
          </w:p>
        </w:tc>
      </w:tr>
    </w:tbl>
    <w:p w:rsidR="001969B1" w:rsidRPr="00B4584B" w:rsidRDefault="001969B1" w:rsidP="001969B1">
      <w:pPr>
        <w:pStyle w:val="Titulek"/>
        <w:keepNext/>
        <w:rPr>
          <w:noProof/>
          <w:sz w:val="24"/>
        </w:rPr>
      </w:pPr>
      <w:r w:rsidRPr="003475BB">
        <w:rPr>
          <w:sz w:val="24"/>
        </w:rPr>
        <w:lastRenderedPageBreak/>
        <w:t xml:space="preserve">Příloha č. </w:t>
      </w:r>
      <w:r w:rsidR="00D94619" w:rsidRPr="003475BB">
        <w:rPr>
          <w:sz w:val="24"/>
        </w:rPr>
        <w:fldChar w:fldCharType="begin"/>
      </w:r>
      <w:r w:rsidRPr="003475BB">
        <w:rPr>
          <w:sz w:val="24"/>
        </w:rPr>
        <w:instrText xml:space="preserve"> SEQ Příloha_č. \* ARABIC </w:instrText>
      </w:r>
      <w:r w:rsidR="00D94619" w:rsidRPr="003475BB">
        <w:rPr>
          <w:sz w:val="24"/>
        </w:rPr>
        <w:fldChar w:fldCharType="separate"/>
      </w:r>
      <w:r w:rsidR="00A210D4">
        <w:rPr>
          <w:noProof/>
          <w:sz w:val="24"/>
        </w:rPr>
        <w:t>1</w:t>
      </w:r>
      <w:r w:rsidR="00D94619" w:rsidRPr="003475BB">
        <w:rPr>
          <w:noProof/>
          <w:sz w:val="24"/>
        </w:rPr>
        <w:fldChar w:fldCharType="end"/>
      </w:r>
    </w:p>
    <w:p w:rsidR="001969B1" w:rsidRPr="00B4584B" w:rsidRDefault="001969B1" w:rsidP="001969B1">
      <w:pPr>
        <w:pStyle w:val="Titulek"/>
        <w:keepNext/>
        <w:spacing w:after="0"/>
        <w:jc w:val="center"/>
        <w:rPr>
          <w:sz w:val="24"/>
        </w:rPr>
      </w:pPr>
      <w:r w:rsidRPr="00B4584B">
        <w:rPr>
          <w:sz w:val="24"/>
        </w:rPr>
        <w:t>MALÉ A STŘEDNÍ PODNIKY V DATECH</w:t>
      </w:r>
    </w:p>
    <w:p w:rsidR="001969B1" w:rsidRDefault="001969B1" w:rsidP="001969B1">
      <w:pPr>
        <w:pStyle w:val="Titulek"/>
        <w:keepNext/>
        <w:spacing w:after="0"/>
        <w:jc w:val="center"/>
        <w:rPr>
          <w:sz w:val="24"/>
        </w:rPr>
      </w:pPr>
      <w:r w:rsidRPr="00B4584B">
        <w:rPr>
          <w:sz w:val="24"/>
        </w:rPr>
        <w:t xml:space="preserve">2008 </w:t>
      </w:r>
      <w:r>
        <w:rPr>
          <w:sz w:val="24"/>
        </w:rPr>
        <w:t>–</w:t>
      </w:r>
      <w:r w:rsidRPr="00B4584B">
        <w:rPr>
          <w:sz w:val="24"/>
        </w:rPr>
        <w:t xml:space="preserve"> 2014</w:t>
      </w:r>
    </w:p>
    <w:p w:rsidR="001969B1" w:rsidRPr="00745F11" w:rsidRDefault="001969B1" w:rsidP="001969B1"/>
    <w:p w:rsidR="001969B1" w:rsidRDefault="001969B1" w:rsidP="001969B1">
      <w:r w:rsidRPr="00745F11">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5969635" cy="487172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635" cy="4871720"/>
                    </a:xfrm>
                    <a:prstGeom prst="rect">
                      <a:avLst/>
                    </a:prstGeom>
                    <a:noFill/>
                    <a:ln>
                      <a:noFill/>
                    </a:ln>
                  </pic:spPr>
                </pic:pic>
              </a:graphicData>
            </a:graphic>
          </wp:anchor>
        </w:drawing>
      </w:r>
    </w:p>
    <w:p w:rsidR="001969B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Pr="00745F1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Default="001969B1" w:rsidP="001969B1"/>
    <w:p w:rsidR="001969B1" w:rsidRDefault="001969B1" w:rsidP="001969B1">
      <w:pPr>
        <w:rPr>
          <w:i/>
          <w:sz w:val="20"/>
        </w:rPr>
      </w:pPr>
      <w:r w:rsidRPr="00B4584B">
        <w:rPr>
          <w:i/>
          <w:sz w:val="20"/>
        </w:rPr>
        <w:t xml:space="preserve">* dle statistiky ČSÚ (MSP = FO + PO do 250 </w:t>
      </w:r>
      <w:proofErr w:type="spellStart"/>
      <w:r w:rsidRPr="00B4584B">
        <w:rPr>
          <w:i/>
          <w:sz w:val="20"/>
        </w:rPr>
        <w:t>zam</w:t>
      </w:r>
      <w:proofErr w:type="spellEnd"/>
      <w:r w:rsidRPr="00B4584B">
        <w:rPr>
          <w:i/>
          <w:sz w:val="20"/>
        </w:rPr>
        <w:t>.)</w:t>
      </w:r>
    </w:p>
    <w:p w:rsidR="001969B1" w:rsidRDefault="001969B1" w:rsidP="001969B1">
      <w:pPr>
        <w:rPr>
          <w:i/>
          <w:sz w:val="20"/>
        </w:rPr>
      </w:pPr>
      <w:r w:rsidRPr="00B4584B">
        <w:rPr>
          <w:i/>
          <w:sz w:val="20"/>
        </w:rPr>
        <w:t>** PO + FO bez ohledu na velikost subjektu</w:t>
      </w:r>
    </w:p>
    <w:p w:rsidR="001969B1" w:rsidRPr="00B4584B" w:rsidRDefault="001969B1" w:rsidP="001969B1">
      <w:pPr>
        <w:rPr>
          <w:i/>
          <w:sz w:val="20"/>
        </w:rPr>
      </w:pPr>
      <w:r w:rsidRPr="00B4584B">
        <w:rPr>
          <w:i/>
          <w:sz w:val="20"/>
        </w:rPr>
        <w:t>*** Od 2014 ČSÚ počítá s nepřímým zahraničním obchodem (NZO), NZO se pohybuje kolem 13 %, údaje za rok 2014 a 2013 nelze jednoznačně porovnat s lety 2008,2009,2010,2011,2012</w:t>
      </w:r>
    </w:p>
    <w:tbl>
      <w:tblPr>
        <w:tblW w:w="1841" w:type="dxa"/>
        <w:tblCellMar>
          <w:left w:w="70" w:type="dxa"/>
          <w:right w:w="70" w:type="dxa"/>
        </w:tblCellMar>
        <w:tblLook w:val="04A0"/>
      </w:tblPr>
      <w:tblGrid>
        <w:gridCol w:w="1841"/>
      </w:tblGrid>
      <w:tr w:rsidR="001969B1" w:rsidRPr="00B4584B" w:rsidTr="009835E1">
        <w:trPr>
          <w:trHeight w:val="248"/>
        </w:trPr>
        <w:tc>
          <w:tcPr>
            <w:tcW w:w="1841"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1969B1" w:rsidRPr="00B4584B" w:rsidRDefault="001969B1" w:rsidP="009835E1">
            <w:pPr>
              <w:spacing w:after="0"/>
              <w:rPr>
                <w:b/>
                <w:bCs/>
                <w:color w:val="000000"/>
              </w:rPr>
            </w:pPr>
            <w:r w:rsidRPr="00B4584B">
              <w:rPr>
                <w:b/>
                <w:i/>
                <w:sz w:val="20"/>
              </w:rPr>
              <w:t>Pozitivní vývoj</w:t>
            </w:r>
          </w:p>
        </w:tc>
      </w:tr>
      <w:tr w:rsidR="001969B1" w:rsidRPr="00B4584B" w:rsidTr="009835E1">
        <w:trPr>
          <w:trHeight w:val="248"/>
        </w:trPr>
        <w:tc>
          <w:tcPr>
            <w:tcW w:w="1841" w:type="dxa"/>
            <w:tcBorders>
              <w:top w:val="nil"/>
              <w:left w:val="single" w:sz="4" w:space="0" w:color="auto"/>
              <w:bottom w:val="single" w:sz="4" w:space="0" w:color="auto"/>
              <w:right w:val="single" w:sz="4" w:space="0" w:color="auto"/>
            </w:tcBorders>
            <w:shd w:val="clear" w:color="000000" w:fill="DA9694"/>
            <w:hideMark/>
          </w:tcPr>
          <w:p w:rsidR="001969B1" w:rsidRPr="00B4584B" w:rsidRDefault="001969B1" w:rsidP="009835E1">
            <w:pPr>
              <w:spacing w:after="0"/>
              <w:rPr>
                <w:b/>
                <w:bCs/>
                <w:color w:val="000000"/>
              </w:rPr>
            </w:pPr>
            <w:r w:rsidRPr="00B4584B">
              <w:rPr>
                <w:b/>
                <w:i/>
                <w:sz w:val="20"/>
              </w:rPr>
              <w:t>Negativní vývoj</w:t>
            </w:r>
          </w:p>
        </w:tc>
      </w:tr>
    </w:tbl>
    <w:p w:rsidR="001969B1" w:rsidRPr="00B4584B" w:rsidRDefault="001969B1" w:rsidP="001969B1">
      <w:pPr>
        <w:rPr>
          <w:i/>
          <w:sz w:val="20"/>
        </w:rPr>
      </w:pPr>
    </w:p>
    <w:p w:rsidR="00820981" w:rsidRPr="009E40C1" w:rsidRDefault="001969B1" w:rsidP="00BE1EC7">
      <w:pPr>
        <w:rPr>
          <w:sz w:val="14"/>
          <w:szCs w:val="14"/>
        </w:rPr>
      </w:pPr>
      <w:r w:rsidRPr="00B85473">
        <w:rPr>
          <w:i/>
          <w:sz w:val="20"/>
        </w:rPr>
        <w:t>Zdroj: data ČSÚ</w:t>
      </w:r>
    </w:p>
    <w:sectPr w:rsidR="00820981" w:rsidRPr="009E40C1" w:rsidSect="00D2278F">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5B" w:rsidRDefault="00407E5B" w:rsidP="00F52EB4">
      <w:pPr>
        <w:spacing w:after="0" w:line="240" w:lineRule="auto"/>
      </w:pPr>
      <w:r>
        <w:separator/>
      </w:r>
    </w:p>
  </w:endnote>
  <w:endnote w:type="continuationSeparator" w:id="0">
    <w:p w:rsidR="00407E5B" w:rsidRDefault="00407E5B" w:rsidP="00F52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48795"/>
      <w:docPartObj>
        <w:docPartGallery w:val="Page Numbers (Bottom of Page)"/>
        <w:docPartUnique/>
      </w:docPartObj>
    </w:sdtPr>
    <w:sdtContent>
      <w:p w:rsidR="009835E1" w:rsidRDefault="00D94619">
        <w:pPr>
          <w:pStyle w:val="Zpat"/>
          <w:jc w:val="center"/>
        </w:pPr>
        <w:r>
          <w:fldChar w:fldCharType="begin"/>
        </w:r>
        <w:r w:rsidR="009835E1">
          <w:instrText>PAGE   \* MERGEFORMAT</w:instrText>
        </w:r>
        <w:r>
          <w:fldChar w:fldCharType="separate"/>
        </w:r>
        <w:r w:rsidR="00A210D4">
          <w:rPr>
            <w:noProof/>
          </w:rPr>
          <w:t>37</w:t>
        </w:r>
        <w:r>
          <w:fldChar w:fldCharType="end"/>
        </w:r>
      </w:p>
    </w:sdtContent>
  </w:sdt>
  <w:p w:rsidR="009835E1" w:rsidRDefault="009835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5B" w:rsidRDefault="00407E5B" w:rsidP="00F52EB4">
      <w:pPr>
        <w:spacing w:after="0" w:line="240" w:lineRule="auto"/>
      </w:pPr>
      <w:r>
        <w:separator/>
      </w:r>
    </w:p>
  </w:footnote>
  <w:footnote w:type="continuationSeparator" w:id="0">
    <w:p w:rsidR="00407E5B" w:rsidRDefault="00407E5B" w:rsidP="00F52EB4">
      <w:pPr>
        <w:spacing w:after="0" w:line="240" w:lineRule="auto"/>
      </w:pPr>
      <w:r>
        <w:continuationSeparator/>
      </w:r>
    </w:p>
  </w:footnote>
  <w:footnote w:id="1">
    <w:p w:rsidR="009835E1" w:rsidRDefault="009835E1" w:rsidP="009835E1">
      <w:pPr>
        <w:pStyle w:val="Textpoznpodarou"/>
      </w:pPr>
      <w:r>
        <w:rPr>
          <w:rStyle w:val="Znakapoznpodarou"/>
        </w:rPr>
        <w:footnoteRef/>
      </w:r>
      <w:r>
        <w:t xml:space="preserve"> </w:t>
      </w:r>
      <w:r w:rsidRPr="004A3039">
        <w:t>Agentura pro podnikání a inovace</w:t>
      </w:r>
      <w:r>
        <w:t xml:space="preserve"> (API) vznikne za předpokladu, že bude schválena novela zákona, </w:t>
      </w:r>
      <w:r w:rsidRPr="004A3039">
        <w:t>kterým se</w:t>
      </w:r>
      <w:r>
        <w:t> </w:t>
      </w:r>
      <w:r w:rsidRPr="004A3039">
        <w:t>mění zákon č. 47/ 2002 Sb., o podpo</w:t>
      </w:r>
      <w:r>
        <w:t>ře malého a středního podnikání</w:t>
      </w:r>
    </w:p>
  </w:footnote>
  <w:footnote w:id="2">
    <w:p w:rsidR="009835E1" w:rsidRDefault="009835E1" w:rsidP="009835E1">
      <w:pPr>
        <w:pStyle w:val="Textpoznpodarou"/>
      </w:pPr>
      <w:r>
        <w:rPr>
          <w:rStyle w:val="Znakapoznpodarou"/>
        </w:rPr>
        <w:footnoteRef/>
      </w:r>
      <w:r>
        <w:t xml:space="preserve"> VPS – Všeobecná pokladní správa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3F6D"/>
    <w:multiLevelType w:val="hybridMultilevel"/>
    <w:tmpl w:val="1CCAEC26"/>
    <w:lvl w:ilvl="0" w:tplc="B8ECBAAE">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4F1601"/>
    <w:multiLevelType w:val="hybridMultilevel"/>
    <w:tmpl w:val="32625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5B0C2F"/>
    <w:multiLevelType w:val="hybridMultilevel"/>
    <w:tmpl w:val="C32273BC"/>
    <w:lvl w:ilvl="0" w:tplc="66042A50">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951CAA"/>
    <w:multiLevelType w:val="hybridMultilevel"/>
    <w:tmpl w:val="ADDC5A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FBF6A21"/>
    <w:multiLevelType w:val="hybridMultilevel"/>
    <w:tmpl w:val="8C3AF8D2"/>
    <w:lvl w:ilvl="0" w:tplc="B8ECBAAE">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F768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8965CF"/>
    <w:multiLevelType w:val="hybridMultilevel"/>
    <w:tmpl w:val="0BBCAB84"/>
    <w:lvl w:ilvl="0" w:tplc="04050001">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7">
    <w:nsid w:val="66D245B9"/>
    <w:multiLevelType w:val="hybridMultilevel"/>
    <w:tmpl w:val="30EE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FB2C66"/>
    <w:multiLevelType w:val="hybridMultilevel"/>
    <w:tmpl w:val="168069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4DD0E3C"/>
    <w:multiLevelType w:val="hybridMultilevel"/>
    <w:tmpl w:val="FD72AA6A"/>
    <w:lvl w:ilvl="0" w:tplc="2E6A13E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7F94FB1"/>
    <w:multiLevelType w:val="hybridMultilevel"/>
    <w:tmpl w:val="E0CC79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0"/>
  </w:num>
  <w:num w:numId="6">
    <w:abstractNumId w:val="4"/>
  </w:num>
  <w:num w:numId="7">
    <w:abstractNumId w:val="7"/>
  </w:num>
  <w:num w:numId="8">
    <w:abstractNumId w:val="9"/>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E40C1"/>
    <w:rsid w:val="0001248D"/>
    <w:rsid w:val="00017E73"/>
    <w:rsid w:val="00046AB1"/>
    <w:rsid w:val="00082E57"/>
    <w:rsid w:val="000B1B9F"/>
    <w:rsid w:val="000E1489"/>
    <w:rsid w:val="000F01F2"/>
    <w:rsid w:val="001072A1"/>
    <w:rsid w:val="00112001"/>
    <w:rsid w:val="001407E2"/>
    <w:rsid w:val="00154E92"/>
    <w:rsid w:val="001859EA"/>
    <w:rsid w:val="001969B1"/>
    <w:rsid w:val="00197188"/>
    <w:rsid w:val="001B7B0A"/>
    <w:rsid w:val="001B7FE1"/>
    <w:rsid w:val="001C703D"/>
    <w:rsid w:val="00204559"/>
    <w:rsid w:val="00211DB7"/>
    <w:rsid w:val="00216A3C"/>
    <w:rsid w:val="0021738C"/>
    <w:rsid w:val="00266FC7"/>
    <w:rsid w:val="0026796E"/>
    <w:rsid w:val="00273523"/>
    <w:rsid w:val="002941EE"/>
    <w:rsid w:val="002B7B52"/>
    <w:rsid w:val="003209DD"/>
    <w:rsid w:val="00326F86"/>
    <w:rsid w:val="00333C46"/>
    <w:rsid w:val="0035268C"/>
    <w:rsid w:val="00354C8B"/>
    <w:rsid w:val="0038338C"/>
    <w:rsid w:val="0039705A"/>
    <w:rsid w:val="003A65D8"/>
    <w:rsid w:val="003B1C43"/>
    <w:rsid w:val="00407E5B"/>
    <w:rsid w:val="0041503A"/>
    <w:rsid w:val="004158CB"/>
    <w:rsid w:val="00423DB4"/>
    <w:rsid w:val="00440662"/>
    <w:rsid w:val="00453555"/>
    <w:rsid w:val="00466A69"/>
    <w:rsid w:val="00487771"/>
    <w:rsid w:val="0049197D"/>
    <w:rsid w:val="004A42E0"/>
    <w:rsid w:val="004C47DF"/>
    <w:rsid w:val="004F57B2"/>
    <w:rsid w:val="005002AE"/>
    <w:rsid w:val="005156C2"/>
    <w:rsid w:val="005371F4"/>
    <w:rsid w:val="00564E96"/>
    <w:rsid w:val="005B2A69"/>
    <w:rsid w:val="005B2DAB"/>
    <w:rsid w:val="005D104B"/>
    <w:rsid w:val="005D113C"/>
    <w:rsid w:val="005D65AD"/>
    <w:rsid w:val="005E0341"/>
    <w:rsid w:val="0060467D"/>
    <w:rsid w:val="0061276E"/>
    <w:rsid w:val="006137DB"/>
    <w:rsid w:val="00632BA1"/>
    <w:rsid w:val="006508D2"/>
    <w:rsid w:val="00693327"/>
    <w:rsid w:val="006A3F3B"/>
    <w:rsid w:val="006B5AAB"/>
    <w:rsid w:val="006C1B67"/>
    <w:rsid w:val="006E086D"/>
    <w:rsid w:val="006E1471"/>
    <w:rsid w:val="006E5C71"/>
    <w:rsid w:val="007540E3"/>
    <w:rsid w:val="00763EB6"/>
    <w:rsid w:val="00794CF7"/>
    <w:rsid w:val="00795618"/>
    <w:rsid w:val="007B10F3"/>
    <w:rsid w:val="007D6447"/>
    <w:rsid w:val="007E3691"/>
    <w:rsid w:val="00803E3B"/>
    <w:rsid w:val="00820981"/>
    <w:rsid w:val="00827B3F"/>
    <w:rsid w:val="00840E67"/>
    <w:rsid w:val="00857B89"/>
    <w:rsid w:val="00896805"/>
    <w:rsid w:val="008B0EDC"/>
    <w:rsid w:val="008E70F6"/>
    <w:rsid w:val="00911F25"/>
    <w:rsid w:val="00956E53"/>
    <w:rsid w:val="00962F17"/>
    <w:rsid w:val="00973CF6"/>
    <w:rsid w:val="009835E1"/>
    <w:rsid w:val="009A1F81"/>
    <w:rsid w:val="009A48C8"/>
    <w:rsid w:val="009E40C1"/>
    <w:rsid w:val="009F1ABD"/>
    <w:rsid w:val="009F1F1F"/>
    <w:rsid w:val="00A03163"/>
    <w:rsid w:val="00A171C2"/>
    <w:rsid w:val="00A210D4"/>
    <w:rsid w:val="00A37994"/>
    <w:rsid w:val="00A431BD"/>
    <w:rsid w:val="00A523AF"/>
    <w:rsid w:val="00A61A11"/>
    <w:rsid w:val="00A9448B"/>
    <w:rsid w:val="00AA537B"/>
    <w:rsid w:val="00AB4192"/>
    <w:rsid w:val="00AC21A2"/>
    <w:rsid w:val="00AC4C3C"/>
    <w:rsid w:val="00AD4267"/>
    <w:rsid w:val="00AE6350"/>
    <w:rsid w:val="00AF5ECC"/>
    <w:rsid w:val="00B03224"/>
    <w:rsid w:val="00B15AB2"/>
    <w:rsid w:val="00B21CA7"/>
    <w:rsid w:val="00B227EB"/>
    <w:rsid w:val="00B25D93"/>
    <w:rsid w:val="00B5246C"/>
    <w:rsid w:val="00B54AD3"/>
    <w:rsid w:val="00B6296D"/>
    <w:rsid w:val="00B774A6"/>
    <w:rsid w:val="00B83064"/>
    <w:rsid w:val="00B95236"/>
    <w:rsid w:val="00BA47FC"/>
    <w:rsid w:val="00BA5332"/>
    <w:rsid w:val="00BB43EF"/>
    <w:rsid w:val="00BC5902"/>
    <w:rsid w:val="00BC7595"/>
    <w:rsid w:val="00BE1EC7"/>
    <w:rsid w:val="00BF097F"/>
    <w:rsid w:val="00C44150"/>
    <w:rsid w:val="00C70300"/>
    <w:rsid w:val="00C954CD"/>
    <w:rsid w:val="00C97864"/>
    <w:rsid w:val="00C97EAA"/>
    <w:rsid w:val="00CC75F7"/>
    <w:rsid w:val="00CE7324"/>
    <w:rsid w:val="00D15741"/>
    <w:rsid w:val="00D2097F"/>
    <w:rsid w:val="00D2278F"/>
    <w:rsid w:val="00D37DBC"/>
    <w:rsid w:val="00D94619"/>
    <w:rsid w:val="00DA3EB5"/>
    <w:rsid w:val="00DD741B"/>
    <w:rsid w:val="00DE4EE7"/>
    <w:rsid w:val="00DF5801"/>
    <w:rsid w:val="00E76995"/>
    <w:rsid w:val="00EA1919"/>
    <w:rsid w:val="00EB34AD"/>
    <w:rsid w:val="00EC2969"/>
    <w:rsid w:val="00F02712"/>
    <w:rsid w:val="00F2691F"/>
    <w:rsid w:val="00F33E63"/>
    <w:rsid w:val="00F409A0"/>
    <w:rsid w:val="00F413BD"/>
    <w:rsid w:val="00F52EB4"/>
    <w:rsid w:val="00F54698"/>
    <w:rsid w:val="00F645E0"/>
    <w:rsid w:val="00F93E97"/>
    <w:rsid w:val="00FA3B0F"/>
    <w:rsid w:val="00FB3B08"/>
    <w:rsid w:val="00FC5BDC"/>
    <w:rsid w:val="00FE0C0F"/>
    <w:rsid w:val="00FF41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B08"/>
    <w:pPr>
      <w:overflowPunct w:val="0"/>
      <w:autoSpaceDE w:val="0"/>
      <w:autoSpaceDN w:val="0"/>
      <w:adjustRightInd w:val="0"/>
      <w:spacing w:after="160" w:line="340" w:lineRule="exact"/>
      <w:textAlignment w:val="baseline"/>
    </w:pPr>
    <w:rPr>
      <w:rFonts w:asciiTheme="minorHAnsi" w:hAnsiTheme="minorHAnsi"/>
      <w:sz w:val="22"/>
    </w:rPr>
  </w:style>
  <w:style w:type="paragraph" w:styleId="Nadpis1">
    <w:name w:val="heading 1"/>
    <w:basedOn w:val="Normln"/>
    <w:next w:val="Normln"/>
    <w:link w:val="Nadpis1Char"/>
    <w:uiPriority w:val="99"/>
    <w:qFormat/>
    <w:rsid w:val="001969B1"/>
    <w:pPr>
      <w:keepNext/>
      <w:keepLines/>
      <w:overflowPunct/>
      <w:autoSpaceDE/>
      <w:autoSpaceDN/>
      <w:adjustRightInd/>
      <w:spacing w:before="480" w:after="120" w:line="240" w:lineRule="auto"/>
      <w:jc w:val="both"/>
      <w:textAlignment w:val="auto"/>
      <w:outlineLvl w:val="0"/>
    </w:pPr>
    <w:rPr>
      <w:rFonts w:ascii="Cambria" w:hAnsi="Cambria" w:cs="Cambria"/>
      <w:b/>
      <w:bCs/>
      <w:color w:val="984806"/>
      <w:sz w:val="28"/>
      <w:szCs w:val="28"/>
      <w:lang w:eastAsia="en-US"/>
    </w:rPr>
  </w:style>
  <w:style w:type="paragraph" w:styleId="Nadpis2">
    <w:name w:val="heading 2"/>
    <w:basedOn w:val="Normln"/>
    <w:next w:val="Normln"/>
    <w:link w:val="Nadpis2Char"/>
    <w:uiPriority w:val="99"/>
    <w:qFormat/>
    <w:rsid w:val="001969B1"/>
    <w:pPr>
      <w:keepNext/>
      <w:keepLines/>
      <w:overflowPunct/>
      <w:autoSpaceDE/>
      <w:autoSpaceDN/>
      <w:adjustRightInd/>
      <w:spacing w:before="360" w:after="120" w:line="240" w:lineRule="auto"/>
      <w:jc w:val="both"/>
      <w:textAlignment w:val="auto"/>
      <w:outlineLvl w:val="1"/>
    </w:pPr>
    <w:rPr>
      <w:rFonts w:ascii="Cambria" w:hAnsi="Cambria" w:cs="Cambria"/>
      <w:b/>
      <w:bCs/>
      <w:color w:val="E36C0A"/>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23DB4"/>
    <w:pPr>
      <w:ind w:left="720"/>
      <w:contextualSpacing/>
    </w:pPr>
  </w:style>
  <w:style w:type="paragraph" w:styleId="Zhlav">
    <w:name w:val="header"/>
    <w:basedOn w:val="Normln"/>
    <w:link w:val="ZhlavChar"/>
    <w:uiPriority w:val="99"/>
    <w:unhideWhenUsed/>
    <w:rsid w:val="00F52E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2EB4"/>
    <w:rPr>
      <w:rFonts w:asciiTheme="minorHAnsi" w:hAnsiTheme="minorHAnsi"/>
      <w:sz w:val="22"/>
    </w:rPr>
  </w:style>
  <w:style w:type="paragraph" w:styleId="Zpat">
    <w:name w:val="footer"/>
    <w:basedOn w:val="Normln"/>
    <w:link w:val="ZpatChar"/>
    <w:uiPriority w:val="99"/>
    <w:unhideWhenUsed/>
    <w:rsid w:val="00F52EB4"/>
    <w:pPr>
      <w:tabs>
        <w:tab w:val="center" w:pos="4536"/>
        <w:tab w:val="right" w:pos="9072"/>
      </w:tabs>
      <w:spacing w:after="0" w:line="240" w:lineRule="auto"/>
    </w:pPr>
  </w:style>
  <w:style w:type="character" w:customStyle="1" w:styleId="ZpatChar">
    <w:name w:val="Zápatí Char"/>
    <w:basedOn w:val="Standardnpsmoodstavce"/>
    <w:link w:val="Zpat"/>
    <w:uiPriority w:val="99"/>
    <w:rsid w:val="00F52EB4"/>
    <w:rPr>
      <w:rFonts w:asciiTheme="minorHAnsi" w:hAnsiTheme="minorHAnsi"/>
      <w:sz w:val="22"/>
    </w:rPr>
  </w:style>
  <w:style w:type="character" w:customStyle="1" w:styleId="Nadpis1Char">
    <w:name w:val="Nadpis 1 Char"/>
    <w:basedOn w:val="Standardnpsmoodstavce"/>
    <w:link w:val="Nadpis1"/>
    <w:uiPriority w:val="99"/>
    <w:rsid w:val="001969B1"/>
    <w:rPr>
      <w:rFonts w:ascii="Cambria" w:hAnsi="Cambria" w:cs="Cambria"/>
      <w:b/>
      <w:bCs/>
      <w:color w:val="984806"/>
      <w:sz w:val="28"/>
      <w:szCs w:val="28"/>
      <w:lang w:eastAsia="en-US"/>
    </w:rPr>
  </w:style>
  <w:style w:type="character" w:customStyle="1" w:styleId="Nadpis2Char">
    <w:name w:val="Nadpis 2 Char"/>
    <w:basedOn w:val="Standardnpsmoodstavce"/>
    <w:link w:val="Nadpis2"/>
    <w:uiPriority w:val="99"/>
    <w:rsid w:val="001969B1"/>
    <w:rPr>
      <w:rFonts w:ascii="Cambria" w:hAnsi="Cambria" w:cs="Cambria"/>
      <w:b/>
      <w:bCs/>
      <w:color w:val="E36C0A"/>
      <w:sz w:val="26"/>
      <w:szCs w:val="26"/>
      <w:lang w:eastAsia="en-US"/>
    </w:rPr>
  </w:style>
  <w:style w:type="paragraph" w:styleId="Textpoznpodarou">
    <w:name w:val="footnote text"/>
    <w:basedOn w:val="Normln"/>
    <w:link w:val="TextpoznpodarouChar"/>
    <w:uiPriority w:val="99"/>
    <w:semiHidden/>
    <w:rsid w:val="001969B1"/>
    <w:pPr>
      <w:spacing w:after="120" w:line="240" w:lineRule="auto"/>
      <w:jc w:val="both"/>
    </w:pPr>
    <w:rPr>
      <w:rFonts w:ascii="Calibri" w:hAnsi="Calibri"/>
      <w:sz w:val="20"/>
    </w:rPr>
  </w:style>
  <w:style w:type="character" w:customStyle="1" w:styleId="TextpoznpodarouChar">
    <w:name w:val="Text pozn. pod čarou Char"/>
    <w:basedOn w:val="Standardnpsmoodstavce"/>
    <w:link w:val="Textpoznpodarou"/>
    <w:uiPriority w:val="99"/>
    <w:semiHidden/>
    <w:rsid w:val="001969B1"/>
    <w:rPr>
      <w:rFonts w:ascii="Calibri" w:hAnsi="Calibri"/>
    </w:rPr>
  </w:style>
  <w:style w:type="character" w:styleId="Znakapoznpodarou">
    <w:name w:val="footnote reference"/>
    <w:uiPriority w:val="99"/>
    <w:semiHidden/>
    <w:rsid w:val="001969B1"/>
    <w:rPr>
      <w:vertAlign w:val="superscript"/>
    </w:rPr>
  </w:style>
  <w:style w:type="table" w:styleId="Mkatabulky">
    <w:name w:val="Table Grid"/>
    <w:basedOn w:val="Normlntabulka"/>
    <w:uiPriority w:val="99"/>
    <w:rsid w:val="001969B1"/>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1969B1"/>
    <w:pPr>
      <w:overflowPunct/>
      <w:autoSpaceDE/>
      <w:autoSpaceDN/>
      <w:adjustRightInd/>
      <w:spacing w:after="120" w:line="240" w:lineRule="auto"/>
      <w:jc w:val="both"/>
      <w:textAlignment w:val="auto"/>
    </w:pPr>
    <w:rPr>
      <w:rFonts w:ascii="Calibri" w:hAnsi="Calibri" w:cs="Calibri"/>
      <w:b/>
      <w:bCs/>
      <w:sz w:val="20"/>
      <w:lang w:eastAsia="en-US"/>
    </w:rPr>
  </w:style>
</w:styles>
</file>

<file path=word/webSettings.xml><?xml version="1.0" encoding="utf-8"?>
<w:webSettings xmlns:r="http://schemas.openxmlformats.org/officeDocument/2006/relationships" xmlns:w="http://schemas.openxmlformats.org/wordprocessingml/2006/main">
  <w:divs>
    <w:div w:id="37316771">
      <w:bodyDiv w:val="1"/>
      <w:marLeft w:val="0"/>
      <w:marRight w:val="0"/>
      <w:marTop w:val="0"/>
      <w:marBottom w:val="0"/>
      <w:divBdr>
        <w:top w:val="none" w:sz="0" w:space="0" w:color="auto"/>
        <w:left w:val="none" w:sz="0" w:space="0" w:color="auto"/>
        <w:bottom w:val="none" w:sz="0" w:space="0" w:color="auto"/>
        <w:right w:val="none" w:sz="0" w:space="0" w:color="auto"/>
      </w:divBdr>
    </w:div>
    <w:div w:id="180625479">
      <w:bodyDiv w:val="1"/>
      <w:marLeft w:val="0"/>
      <w:marRight w:val="0"/>
      <w:marTop w:val="0"/>
      <w:marBottom w:val="0"/>
      <w:divBdr>
        <w:top w:val="none" w:sz="0" w:space="0" w:color="auto"/>
        <w:left w:val="none" w:sz="0" w:space="0" w:color="auto"/>
        <w:bottom w:val="none" w:sz="0" w:space="0" w:color="auto"/>
        <w:right w:val="none" w:sz="0" w:space="0" w:color="auto"/>
      </w:divBdr>
    </w:div>
    <w:div w:id="363017754">
      <w:bodyDiv w:val="1"/>
      <w:marLeft w:val="0"/>
      <w:marRight w:val="0"/>
      <w:marTop w:val="0"/>
      <w:marBottom w:val="0"/>
      <w:divBdr>
        <w:top w:val="none" w:sz="0" w:space="0" w:color="auto"/>
        <w:left w:val="none" w:sz="0" w:space="0" w:color="auto"/>
        <w:bottom w:val="none" w:sz="0" w:space="0" w:color="auto"/>
        <w:right w:val="none" w:sz="0" w:space="0" w:color="auto"/>
      </w:divBdr>
    </w:div>
    <w:div w:id="606155751">
      <w:bodyDiv w:val="1"/>
      <w:marLeft w:val="0"/>
      <w:marRight w:val="0"/>
      <w:marTop w:val="0"/>
      <w:marBottom w:val="0"/>
      <w:divBdr>
        <w:top w:val="none" w:sz="0" w:space="0" w:color="auto"/>
        <w:left w:val="none" w:sz="0" w:space="0" w:color="auto"/>
        <w:bottom w:val="none" w:sz="0" w:space="0" w:color="auto"/>
        <w:right w:val="none" w:sz="0" w:space="0" w:color="auto"/>
      </w:divBdr>
    </w:div>
    <w:div w:id="757217280">
      <w:bodyDiv w:val="1"/>
      <w:marLeft w:val="0"/>
      <w:marRight w:val="0"/>
      <w:marTop w:val="0"/>
      <w:marBottom w:val="0"/>
      <w:divBdr>
        <w:top w:val="none" w:sz="0" w:space="0" w:color="auto"/>
        <w:left w:val="none" w:sz="0" w:space="0" w:color="auto"/>
        <w:bottom w:val="none" w:sz="0" w:space="0" w:color="auto"/>
        <w:right w:val="none" w:sz="0" w:space="0" w:color="auto"/>
      </w:divBdr>
    </w:div>
    <w:div w:id="837185561">
      <w:bodyDiv w:val="1"/>
      <w:marLeft w:val="0"/>
      <w:marRight w:val="0"/>
      <w:marTop w:val="0"/>
      <w:marBottom w:val="0"/>
      <w:divBdr>
        <w:top w:val="none" w:sz="0" w:space="0" w:color="auto"/>
        <w:left w:val="none" w:sz="0" w:space="0" w:color="auto"/>
        <w:bottom w:val="none" w:sz="0" w:space="0" w:color="auto"/>
        <w:right w:val="none" w:sz="0" w:space="0" w:color="auto"/>
      </w:divBdr>
    </w:div>
    <w:div w:id="874658407">
      <w:bodyDiv w:val="1"/>
      <w:marLeft w:val="0"/>
      <w:marRight w:val="0"/>
      <w:marTop w:val="0"/>
      <w:marBottom w:val="0"/>
      <w:divBdr>
        <w:top w:val="none" w:sz="0" w:space="0" w:color="auto"/>
        <w:left w:val="none" w:sz="0" w:space="0" w:color="auto"/>
        <w:bottom w:val="none" w:sz="0" w:space="0" w:color="auto"/>
        <w:right w:val="none" w:sz="0" w:space="0" w:color="auto"/>
      </w:divBdr>
    </w:div>
    <w:div w:id="1194658765">
      <w:bodyDiv w:val="1"/>
      <w:marLeft w:val="0"/>
      <w:marRight w:val="0"/>
      <w:marTop w:val="0"/>
      <w:marBottom w:val="0"/>
      <w:divBdr>
        <w:top w:val="none" w:sz="0" w:space="0" w:color="auto"/>
        <w:left w:val="none" w:sz="0" w:space="0" w:color="auto"/>
        <w:bottom w:val="none" w:sz="0" w:space="0" w:color="auto"/>
        <w:right w:val="none" w:sz="0" w:space="0" w:color="auto"/>
      </w:divBdr>
    </w:div>
    <w:div w:id="1485858297">
      <w:bodyDiv w:val="1"/>
      <w:marLeft w:val="0"/>
      <w:marRight w:val="0"/>
      <w:marTop w:val="0"/>
      <w:marBottom w:val="0"/>
      <w:divBdr>
        <w:top w:val="none" w:sz="0" w:space="0" w:color="auto"/>
        <w:left w:val="none" w:sz="0" w:space="0" w:color="auto"/>
        <w:bottom w:val="none" w:sz="0" w:space="0" w:color="auto"/>
        <w:right w:val="none" w:sz="0" w:space="0" w:color="auto"/>
      </w:divBdr>
    </w:div>
    <w:div w:id="1675297827">
      <w:bodyDiv w:val="1"/>
      <w:marLeft w:val="0"/>
      <w:marRight w:val="0"/>
      <w:marTop w:val="0"/>
      <w:marBottom w:val="0"/>
      <w:divBdr>
        <w:top w:val="none" w:sz="0" w:space="0" w:color="auto"/>
        <w:left w:val="none" w:sz="0" w:space="0" w:color="auto"/>
        <w:bottom w:val="none" w:sz="0" w:space="0" w:color="auto"/>
        <w:right w:val="none" w:sz="0" w:space="0" w:color="auto"/>
      </w:divBdr>
    </w:div>
    <w:div w:id="1870727389">
      <w:bodyDiv w:val="1"/>
      <w:marLeft w:val="0"/>
      <w:marRight w:val="0"/>
      <w:marTop w:val="0"/>
      <w:marBottom w:val="0"/>
      <w:divBdr>
        <w:top w:val="none" w:sz="0" w:space="0" w:color="auto"/>
        <w:left w:val="none" w:sz="0" w:space="0" w:color="auto"/>
        <w:bottom w:val="none" w:sz="0" w:space="0" w:color="auto"/>
        <w:right w:val="none" w:sz="0" w:space="0" w:color="auto"/>
      </w:divBdr>
    </w:div>
    <w:div w:id="21179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8DA3-BEF9-406A-AA61-6DD1069F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10014</Words>
  <Characters>59088</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68965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Szopová Natalie</dc:creator>
  <cp:lastModifiedBy>OSPZV3 ospzv3</cp:lastModifiedBy>
  <cp:revision>2</cp:revision>
  <cp:lastPrinted>2015-12-07T11:50:00Z</cp:lastPrinted>
  <dcterms:created xsi:type="dcterms:W3CDTF">2015-12-07T11:52:00Z</dcterms:created>
  <dcterms:modified xsi:type="dcterms:W3CDTF">2015-12-07T11:52:00Z</dcterms:modified>
</cp:coreProperties>
</file>